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52" w:rsidRPr="004526FC" w:rsidRDefault="00F21007" w:rsidP="009D1752">
      <w:pPr>
        <w:spacing w:after="100" w:afterAutospacing="1"/>
        <w:ind w:firstLine="0"/>
        <w:jc w:val="both"/>
      </w:pPr>
      <w:r>
        <w:rPr>
          <w:noProof/>
        </w:rPr>
        <w:pict>
          <v:group id="_x0000_s1026" style="position:absolute;left:0;text-align:left;margin-left:36pt;margin-top:27pt;width:387pt;height:120.5pt;z-index:251660288" coordorigin="3182,1124" coordsize="5416,1686">
            <o:lock v:ext="edit" aspectratio="t"/>
            <v:group id="_x0000_s1027" style="position:absolute;left:5095;top:1124;width:1664;height:1674" coordorigin="1847,1107" coordsize="1664,1674">
              <o:lock v:ext="edit" aspectratio="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2574;top:2554;width:227;height:227" o:allowincell="f" fillcolor="black">
                <o:lock v:ext="edit" aspectratio="t"/>
              </v:shape>
              <v:shape id="_x0000_s1029" type="#_x0000_t12" style="position:absolute;left:2574;top:1107;width:227;height:227" o:allowincell="f" fillcolor="black">
                <o:lock v:ext="edit" aspectratio="t"/>
              </v:shape>
              <v:shape id="_x0000_s1030" type="#_x0000_t12" style="position:absolute;left:3284;top:1817;width:227;height:227" o:allowincell="f" fillcolor="black">
                <o:lock v:ext="edit" aspectratio="t"/>
              </v:shape>
              <v:shape id="_x0000_s1031" type="#_x0000_t12" style="position:absolute;left:1847;top:1817;width:227;height:227" o:allowincell="f" fillcolor="black">
                <o:lock v:ext="edit" aspectratio="t"/>
              </v:shape>
              <v:shape id="_x0000_s1032" type="#_x0000_t12" style="position:absolute;left:2907;top:1207;width:227;height:227" o:allowincell="f" fillcolor="black">
                <o:lock v:ext="edit" aspectratio="t"/>
              </v:shape>
              <v:shape id="_x0000_s1033" type="#_x0000_t12" style="position:absolute;left:2197;top:2430;width:227;height:227" o:allowincell="f" fillcolor="black">
                <o:lock v:ext="edit" aspectratio="t"/>
              </v:shape>
              <v:shape id="_x0000_s1034" type="#_x0000_t12" style="position:absolute;left:2907;top:2447;width:227;height:227" o:allowincell="f" fillcolor="black">
                <o:lock v:ext="edit" aspectratio="t"/>
              </v:shape>
              <v:shape id="_x0000_s1035" type="#_x0000_t12" style="position:absolute;left:1947;top:1477;width:227;height:227" o:allowincell="f" fillcolor="black">
                <o:lock v:ext="edit" aspectratio="t"/>
              </v:shape>
              <v:shape id="_x0000_s1036" type="#_x0000_t12" style="position:absolute;left:3167;top:1457;width:227;height:227" o:allowincell="f" fillcolor="black">
                <o:lock v:ext="edit" aspectratio="t"/>
              </v:shape>
              <v:shape id="_x0000_s1037" type="#_x0000_t12" style="position:absolute;left:1947;top:2187;width:227;height:227" o:allowincell="f" fillcolor="black">
                <o:lock v:ext="edit" aspectratio="t"/>
              </v:shape>
              <v:shape id="_x0000_s1038" type="#_x0000_t12" style="position:absolute;left:2187;top:1217;width:227;height:227" o:allowincell="f" fillcolor="black">
                <o:lock v:ext="edit" aspectratio="t"/>
              </v:shape>
              <v:shape id="_x0000_s1039" type="#_x0000_t12" style="position:absolute;left:3157;top:2187;width:227;height:227" o:allowincell="f" fillcolor="black">
                <o:lock v:ext="edit" aspectratio="t"/>
              </v:shape>
            </v:group>
            <v:line id="_x0000_s1040" style="position:absolute" from="3185,2036" to="4432,2036" o:allowincell="f" strokeweight="1.5pt">
              <o:lock v:ext="edit" aspectratio="t"/>
            </v:line>
            <v:line id="_x0000_s1041" style="position:absolute" from="7339,2036" to="8586,2036" o:allowincell="f" strokeweight="1.5pt">
              <o:lock v:ext="edit" aspectratio="t"/>
            </v:line>
            <v:line id="_x0000_s1042" style="position:absolute" from="3186,2804" to="5170,2804" o:allowincell="f" strokeweight="1.5pt">
              <o:lock v:ext="edit" aspectratio="t"/>
            </v:line>
            <v:line id="_x0000_s1043" style="position:absolute" from="6614,2804" to="8598,2804" o:allowincell="f" strokeweight="1.5pt">
              <o:lock v:ext="edit" aspectratio="t"/>
            </v:line>
            <v:shapetype id="_x0000_t202" coordsize="21600,21600" o:spt="202" path="m,l,21600r21600,l21600,xe">
              <v:stroke joinstyle="miter"/>
              <v:path gradientshapeok="t" o:connecttype="rect"/>
            </v:shapetype>
            <v:shape id="_x0000_s1044" type="#_x0000_t202" style="position:absolute;left:6600;top:2030;width:1972;height:780" o:allowincell="f" filled="f" stroked="f">
              <o:lock v:ext="edit" aspectratio="t"/>
              <v:textbox style="mso-next-textbox:#_x0000_s1044" inset="0,0,.5mm,0">
                <w:txbxContent>
                  <w:p w:rsidR="002A1ED0" w:rsidRDefault="002A1ED0" w:rsidP="009D1752">
                    <w:pPr>
                      <w:pStyle w:val="GvdeMetniGirintisi"/>
                      <w:ind w:left="0"/>
                      <w:jc w:val="center"/>
                      <w:rPr>
                        <w:b/>
                        <w:sz w:val="36"/>
                        <w:szCs w:val="36"/>
                      </w:rPr>
                    </w:pPr>
                    <w:r>
                      <w:rPr>
                        <w:b/>
                        <w:sz w:val="36"/>
                        <w:szCs w:val="36"/>
                      </w:rPr>
                      <w:t>AVRUPA KONSEYİ</w:t>
                    </w:r>
                  </w:p>
                </w:txbxContent>
              </v:textbox>
            </v:shape>
            <v:shape id="_x0000_s1045" type="#_x0000_t202" style="position:absolute;left:3182;top:2030;width:1972;height:780" o:allowincell="f" filled="f" stroked="f">
              <o:lock v:ext="edit" aspectratio="t"/>
              <v:textbox style="mso-next-textbox:#_x0000_s1045" inset="0,0,0,0">
                <w:txbxContent>
                  <w:p w:rsidR="002A1ED0" w:rsidRDefault="002A1ED0" w:rsidP="009D1752">
                    <w:pPr>
                      <w:pStyle w:val="Balk2"/>
                      <w:rPr>
                        <w:sz w:val="36"/>
                        <w:szCs w:val="36"/>
                        <w:lang w:val="en-US"/>
                      </w:rPr>
                    </w:pPr>
                    <w:r>
                      <w:rPr>
                        <w:sz w:val="36"/>
                        <w:szCs w:val="36"/>
                        <w:lang w:val="en-US"/>
                      </w:rPr>
                      <w:t xml:space="preserve">     COUNCIL </w:t>
                    </w:r>
                  </w:p>
                  <w:p w:rsidR="002A1ED0" w:rsidRDefault="002A1ED0" w:rsidP="009D1752">
                    <w:pPr>
                      <w:ind w:firstLine="0"/>
                      <w:rPr>
                        <w:b/>
                        <w:bCs/>
                        <w:spacing w:val="-4"/>
                        <w:sz w:val="36"/>
                        <w:szCs w:val="36"/>
                        <w:lang w:val="en-US"/>
                      </w:rPr>
                    </w:pPr>
                    <w:r>
                      <w:rPr>
                        <w:b/>
                        <w:bCs/>
                        <w:spacing w:val="-2"/>
                        <w:sz w:val="36"/>
                        <w:szCs w:val="36"/>
                        <w:lang w:val="en-US"/>
                      </w:rPr>
                      <w:t xml:space="preserve">   OF</w:t>
                    </w:r>
                    <w:r>
                      <w:rPr>
                        <w:spacing w:val="-2"/>
                        <w:sz w:val="36"/>
                        <w:szCs w:val="36"/>
                        <w:lang w:val="en-US"/>
                      </w:rPr>
                      <w:t xml:space="preserve"> </w:t>
                    </w:r>
                    <w:smartTag w:uri="urn:schemas-microsoft-com:office:smarttags" w:element="place">
                      <w:r>
                        <w:rPr>
                          <w:b/>
                          <w:bCs/>
                          <w:spacing w:val="-4"/>
                          <w:sz w:val="36"/>
                          <w:szCs w:val="36"/>
                          <w:lang w:val="en-US"/>
                        </w:rPr>
                        <w:t>EUROPE</w:t>
                      </w:r>
                    </w:smartTag>
                  </w:p>
                  <w:p w:rsidR="002A1ED0" w:rsidRDefault="002A1ED0" w:rsidP="009D1752">
                    <w:pPr>
                      <w:rPr>
                        <w:b/>
                        <w:bCs/>
                        <w:spacing w:val="-4"/>
                        <w:sz w:val="36"/>
                        <w:szCs w:val="36"/>
                        <w:lang w:val="en-US"/>
                      </w:rPr>
                    </w:pPr>
                  </w:p>
                </w:txbxContent>
              </v:textbox>
            </v:shape>
            <w10:wrap type="topAndBottom"/>
          </v:group>
        </w:pict>
      </w:r>
    </w:p>
    <w:p w:rsidR="009D1752" w:rsidRPr="004526FC" w:rsidRDefault="009D1752" w:rsidP="009D1752">
      <w:pPr>
        <w:spacing w:after="100" w:afterAutospacing="1"/>
        <w:ind w:firstLine="0"/>
        <w:jc w:val="both"/>
      </w:pPr>
    </w:p>
    <w:p w:rsidR="009D1752" w:rsidRPr="004526FC" w:rsidRDefault="009D1752" w:rsidP="009D1752">
      <w:pPr>
        <w:spacing w:after="100" w:afterAutospacing="1"/>
        <w:ind w:firstLine="0"/>
        <w:jc w:val="center"/>
        <w:outlineLvl w:val="0"/>
        <w:rPr>
          <w:b/>
          <w:sz w:val="32"/>
          <w:szCs w:val="32"/>
        </w:rPr>
      </w:pPr>
      <w:r w:rsidRPr="004526FC">
        <w:rPr>
          <w:b/>
          <w:sz w:val="32"/>
          <w:szCs w:val="32"/>
        </w:rPr>
        <w:t>AVRUPA İNSAN HAKLARI MAHKEMESİ</w:t>
      </w:r>
    </w:p>
    <w:p w:rsidR="009D1752" w:rsidRDefault="009D1752" w:rsidP="009D1752">
      <w:pPr>
        <w:spacing w:after="100" w:afterAutospacing="1"/>
        <w:ind w:firstLine="0"/>
        <w:jc w:val="center"/>
        <w:outlineLvl w:val="0"/>
        <w:rPr>
          <w:b/>
        </w:rPr>
      </w:pPr>
    </w:p>
    <w:p w:rsidR="009D1752" w:rsidRPr="004526FC" w:rsidRDefault="00170DE4" w:rsidP="009D1752">
      <w:pPr>
        <w:spacing w:after="100" w:afterAutospacing="1"/>
        <w:ind w:firstLine="0"/>
        <w:jc w:val="center"/>
        <w:outlineLvl w:val="0"/>
        <w:rPr>
          <w:b/>
        </w:rPr>
      </w:pPr>
      <w:r>
        <w:rPr>
          <w:b/>
        </w:rPr>
        <w:t>DÖRDÜNCÜ</w:t>
      </w:r>
      <w:r w:rsidR="009D1752" w:rsidRPr="004526FC">
        <w:rPr>
          <w:b/>
        </w:rPr>
        <w:t xml:space="preserve"> DAİRE</w:t>
      </w:r>
    </w:p>
    <w:p w:rsidR="009D1752" w:rsidRPr="004526FC" w:rsidRDefault="009D1752" w:rsidP="009D1752">
      <w:pPr>
        <w:spacing w:after="100" w:afterAutospacing="1"/>
        <w:ind w:firstLine="0"/>
        <w:jc w:val="center"/>
      </w:pPr>
    </w:p>
    <w:p w:rsidR="009D1752" w:rsidRPr="004526FC" w:rsidRDefault="00170DE4" w:rsidP="009D1752">
      <w:pPr>
        <w:spacing w:after="100" w:afterAutospacing="1"/>
        <w:ind w:firstLine="0"/>
        <w:jc w:val="center"/>
        <w:outlineLvl w:val="0"/>
        <w:rPr>
          <w:b/>
        </w:rPr>
      </w:pPr>
      <w:r>
        <w:rPr>
          <w:b/>
        </w:rPr>
        <w:t>CHRISTODOULIDOU</w:t>
      </w:r>
      <w:r w:rsidR="009D1752">
        <w:rPr>
          <w:b/>
        </w:rPr>
        <w:t xml:space="preserve"> </w:t>
      </w:r>
      <w:r w:rsidR="009D1752" w:rsidRPr="004526FC">
        <w:rPr>
          <w:b/>
        </w:rPr>
        <w:t>– TÜRKİYE</w:t>
      </w:r>
    </w:p>
    <w:p w:rsidR="009D1752" w:rsidRDefault="009D1752" w:rsidP="009D1752">
      <w:pPr>
        <w:spacing w:after="100" w:afterAutospacing="1"/>
        <w:ind w:firstLine="0"/>
        <w:jc w:val="center"/>
        <w:rPr>
          <w:b/>
        </w:rPr>
      </w:pPr>
    </w:p>
    <w:p w:rsidR="009D1752" w:rsidRPr="004526FC" w:rsidRDefault="009D1752" w:rsidP="009D1752">
      <w:pPr>
        <w:spacing w:after="100" w:afterAutospacing="1"/>
        <w:ind w:firstLine="0"/>
        <w:jc w:val="center"/>
        <w:rPr>
          <w:i/>
        </w:rPr>
      </w:pPr>
      <w:r w:rsidRPr="004526FC">
        <w:rPr>
          <w:i/>
        </w:rPr>
        <w:t xml:space="preserve">(Başvuru no. </w:t>
      </w:r>
      <w:r w:rsidR="00170DE4">
        <w:rPr>
          <w:i/>
        </w:rPr>
        <w:t>16085</w:t>
      </w:r>
      <w:r w:rsidR="00611A38">
        <w:rPr>
          <w:i/>
        </w:rPr>
        <w:t>/</w:t>
      </w:r>
      <w:r w:rsidR="00170DE4">
        <w:rPr>
          <w:i/>
        </w:rPr>
        <w:t>90</w:t>
      </w:r>
      <w:r w:rsidRPr="004526FC">
        <w:rPr>
          <w:i/>
        </w:rPr>
        <w:t>)</w:t>
      </w:r>
    </w:p>
    <w:p w:rsidR="009D1752" w:rsidRPr="004526FC" w:rsidRDefault="009D1752" w:rsidP="009D1752">
      <w:pPr>
        <w:spacing w:after="100" w:afterAutospacing="1"/>
        <w:ind w:firstLine="0"/>
        <w:jc w:val="center"/>
        <w:rPr>
          <w:b/>
          <w:i/>
        </w:rPr>
      </w:pPr>
    </w:p>
    <w:p w:rsidR="009D1752" w:rsidRDefault="009D1752" w:rsidP="009D1752">
      <w:pPr>
        <w:spacing w:after="100" w:afterAutospacing="1"/>
        <w:ind w:firstLine="0"/>
        <w:jc w:val="center"/>
        <w:outlineLvl w:val="0"/>
        <w:rPr>
          <w:b/>
        </w:rPr>
      </w:pPr>
      <w:r w:rsidRPr="004526FC">
        <w:rPr>
          <w:b/>
        </w:rPr>
        <w:t>KARARIN ÖZET ÇEVİRİSİ</w:t>
      </w:r>
    </w:p>
    <w:p w:rsidR="00611A38" w:rsidRPr="00611A38" w:rsidRDefault="00611A38" w:rsidP="009D1752">
      <w:pPr>
        <w:spacing w:after="100" w:afterAutospacing="1"/>
        <w:ind w:firstLine="0"/>
        <w:jc w:val="center"/>
        <w:outlineLvl w:val="0"/>
        <w:rPr>
          <w:i/>
        </w:rPr>
      </w:pPr>
      <w:r w:rsidRPr="00611A38">
        <w:rPr>
          <w:i/>
        </w:rPr>
        <w:t>(esaslar)</w:t>
      </w:r>
    </w:p>
    <w:p w:rsidR="009D1752" w:rsidRPr="004526FC" w:rsidRDefault="009D1752" w:rsidP="009D1752">
      <w:pPr>
        <w:spacing w:after="100" w:afterAutospacing="1"/>
        <w:ind w:firstLine="0"/>
        <w:jc w:val="center"/>
        <w:outlineLvl w:val="0"/>
        <w:rPr>
          <w:b/>
        </w:rPr>
      </w:pPr>
      <w:r w:rsidRPr="004526FC">
        <w:rPr>
          <w:b/>
        </w:rPr>
        <w:t>STRAZBURG</w:t>
      </w:r>
    </w:p>
    <w:p w:rsidR="009D1752" w:rsidRPr="004526FC" w:rsidRDefault="009D1752" w:rsidP="009D1752">
      <w:pPr>
        <w:spacing w:after="100" w:afterAutospacing="1"/>
        <w:ind w:firstLine="0"/>
        <w:jc w:val="center"/>
        <w:rPr>
          <w:b/>
        </w:rPr>
      </w:pPr>
    </w:p>
    <w:p w:rsidR="009D1752" w:rsidRDefault="00DA224D" w:rsidP="009D1752">
      <w:pPr>
        <w:spacing w:after="100" w:afterAutospacing="1"/>
        <w:ind w:firstLine="0"/>
        <w:jc w:val="center"/>
        <w:rPr>
          <w:b/>
        </w:rPr>
      </w:pPr>
      <w:r>
        <w:rPr>
          <w:b/>
        </w:rPr>
        <w:t>22 Eylül 2009</w:t>
      </w:r>
      <w:r w:rsidR="00503E8B">
        <w:rPr>
          <w:b/>
        </w:rPr>
        <w:t xml:space="preserve"> </w:t>
      </w:r>
    </w:p>
    <w:p w:rsidR="00DA224D" w:rsidRPr="00DA224D" w:rsidRDefault="00DA224D" w:rsidP="009D1752">
      <w:pPr>
        <w:spacing w:after="100" w:afterAutospacing="1"/>
        <w:ind w:firstLine="0"/>
        <w:jc w:val="center"/>
        <w:rPr>
          <w:b/>
          <w:u w:val="single"/>
        </w:rPr>
      </w:pPr>
      <w:r w:rsidRPr="00DA224D">
        <w:rPr>
          <w:b/>
          <w:u w:val="single"/>
        </w:rPr>
        <w:t>NİHAİ</w:t>
      </w:r>
    </w:p>
    <w:p w:rsidR="00DA224D" w:rsidRPr="00DA224D" w:rsidRDefault="00DA224D" w:rsidP="009D1752">
      <w:pPr>
        <w:spacing w:after="100" w:afterAutospacing="1"/>
        <w:ind w:firstLine="0"/>
        <w:jc w:val="center"/>
        <w:rPr>
          <w:i/>
        </w:rPr>
      </w:pPr>
      <w:r w:rsidRPr="00DA224D">
        <w:rPr>
          <w:i/>
        </w:rPr>
        <w:t>01/03/2010</w:t>
      </w:r>
    </w:p>
    <w:p w:rsidR="009D1752" w:rsidRPr="004526FC" w:rsidRDefault="009D1752" w:rsidP="009D1752">
      <w:pPr>
        <w:spacing w:after="100" w:afterAutospacing="1"/>
        <w:ind w:firstLine="0"/>
        <w:jc w:val="both"/>
        <w:rPr>
          <w:b/>
        </w:rPr>
      </w:pPr>
    </w:p>
    <w:p w:rsidR="007E7D67" w:rsidRPr="004526FC" w:rsidRDefault="007E7D67" w:rsidP="007E7D67">
      <w:pPr>
        <w:spacing w:after="100" w:afterAutospacing="1"/>
        <w:ind w:left="708" w:firstLine="1"/>
        <w:jc w:val="both"/>
        <w:rPr>
          <w:i/>
        </w:rPr>
      </w:pPr>
      <w:r w:rsidRPr="004526FC">
        <w:rPr>
          <w:i/>
        </w:rPr>
        <w:t xml:space="preserve">İşbu karar AİHS’nin 44/2 maddesinde belirtilen koşullar çerçevesinde kesinleşecektir. Şekli düzeltmelere tabi olabilir. </w:t>
      </w:r>
    </w:p>
    <w:p w:rsidR="009D1752" w:rsidRPr="004526FC" w:rsidRDefault="009D1752" w:rsidP="009D1752">
      <w:pPr>
        <w:spacing w:after="100" w:afterAutospacing="1"/>
        <w:ind w:firstLine="0"/>
        <w:jc w:val="both"/>
        <w:outlineLvl w:val="0"/>
        <w:rPr>
          <w:sz w:val="28"/>
          <w:szCs w:val="28"/>
        </w:rPr>
      </w:pPr>
      <w:r w:rsidRPr="004526FC">
        <w:rPr>
          <w:sz w:val="28"/>
          <w:szCs w:val="28"/>
        </w:rPr>
        <w:lastRenderedPageBreak/>
        <w:t>USUL</w:t>
      </w:r>
    </w:p>
    <w:p w:rsidR="009D1752" w:rsidRDefault="009D1752" w:rsidP="00EB06C6">
      <w:pPr>
        <w:autoSpaceDE w:val="0"/>
        <w:autoSpaceDN w:val="0"/>
        <w:spacing w:after="100" w:afterAutospacing="1"/>
        <w:ind w:firstLine="708"/>
        <w:jc w:val="both"/>
      </w:pPr>
      <w:r>
        <w:t xml:space="preserve">Türkiye Cumhuriyeti aleyhine </w:t>
      </w:r>
      <w:r w:rsidR="00616C90">
        <w:t>yapılan</w:t>
      </w:r>
      <w:r>
        <w:t xml:space="preserve"> </w:t>
      </w:r>
      <w:r w:rsidR="0035486E">
        <w:t>16085/90</w:t>
      </w:r>
      <w:r w:rsidR="009F6098">
        <w:t xml:space="preserve"> </w:t>
      </w:r>
      <w:r>
        <w:t xml:space="preserve">no’lu </w:t>
      </w:r>
      <w:r w:rsidR="00616C90">
        <w:t>başvuru</w:t>
      </w:r>
      <w:r w:rsidR="0035486E">
        <w:t>nu</w:t>
      </w:r>
      <w:r>
        <w:t>n nedeni</w:t>
      </w:r>
      <w:r w:rsidR="00E82BC4">
        <w:t xml:space="preserve">, </w:t>
      </w:r>
      <w:r w:rsidR="006F1A0B">
        <w:t>Lella Christodoulidou (“başvuran</w:t>
      </w:r>
      <w:r w:rsidR="006F1A0B" w:rsidRPr="004526FC">
        <w:t>”)</w:t>
      </w:r>
      <w:r w:rsidR="006F1A0B">
        <w:t xml:space="preserve"> adlı Kıbrıs</w:t>
      </w:r>
      <w:r>
        <w:t xml:space="preserve"> vatandaşının, Avrupa İnsan Hakları Mahkemesi’ne </w:t>
      </w:r>
      <w:r w:rsidR="006F1A0B">
        <w:t>12 Ocak</w:t>
      </w:r>
      <w:r w:rsidR="002C7552">
        <w:t xml:space="preserve"> </w:t>
      </w:r>
      <w:r w:rsidR="006F1A0B">
        <w:t>1990</w:t>
      </w:r>
      <w:r w:rsidR="00FF53F8">
        <w:t xml:space="preserve"> </w:t>
      </w:r>
      <w:r w:rsidR="002C7552">
        <w:t>tarih</w:t>
      </w:r>
      <w:r w:rsidR="00FF53F8">
        <w:t>inde</w:t>
      </w:r>
      <w:r w:rsidRPr="004526FC">
        <w:t>, İnsan Hakları ve Temel Özgürlüklerin Korunmasına ilişkin Sözleşme’nin (“Avrupa İnsan Hakları Sözleşmesi</w:t>
      </w:r>
      <w:r>
        <w:t>’nin</w:t>
      </w:r>
      <w:r w:rsidRPr="004526FC">
        <w:t xml:space="preserve"> - AİHS”) 34. maddesi uyarınca yap</w:t>
      </w:r>
      <w:r>
        <w:t>mış oldu</w:t>
      </w:r>
      <w:r w:rsidR="006F1A0B">
        <w:t>ğu</w:t>
      </w:r>
      <w:r>
        <w:t xml:space="preserve"> başvurudur.</w:t>
      </w:r>
      <w:r w:rsidRPr="004526FC">
        <w:t xml:space="preserve"> </w:t>
      </w:r>
    </w:p>
    <w:p w:rsidR="00957D5D" w:rsidRDefault="00957D5D" w:rsidP="00EB06C6">
      <w:pPr>
        <w:autoSpaceDE w:val="0"/>
        <w:autoSpaceDN w:val="0"/>
        <w:spacing w:after="100" w:afterAutospacing="1"/>
        <w:ind w:firstLine="708"/>
        <w:jc w:val="both"/>
      </w:pPr>
      <w:r>
        <w:t xml:space="preserve">Başvuran </w:t>
      </w:r>
      <w:r w:rsidR="001A19E1">
        <w:t>Lefkoşa Barosu avukatlarından L. Clerides ve C. Clerides tarafından temsil edilmiştir. Türk Hükümet</w:t>
      </w:r>
      <w:r w:rsidR="00785F3C">
        <w:t>i ise Z.M. Necatigil tarafından</w:t>
      </w:r>
      <w:r w:rsidR="001A19E1">
        <w:t xml:space="preserve"> temsil edilmiştir. </w:t>
      </w:r>
    </w:p>
    <w:p w:rsidR="009D1752" w:rsidRDefault="009D1752" w:rsidP="00F83942">
      <w:pPr>
        <w:spacing w:after="100" w:afterAutospacing="1"/>
        <w:ind w:firstLine="0"/>
        <w:jc w:val="both"/>
        <w:outlineLvl w:val="0"/>
        <w:rPr>
          <w:bCs/>
          <w:sz w:val="28"/>
          <w:szCs w:val="28"/>
        </w:rPr>
      </w:pPr>
      <w:r w:rsidRPr="004526FC">
        <w:rPr>
          <w:bCs/>
          <w:sz w:val="28"/>
          <w:szCs w:val="28"/>
        </w:rPr>
        <w:t>OLAYLAR</w:t>
      </w:r>
    </w:p>
    <w:p w:rsidR="001A19E1" w:rsidRPr="001A19E1" w:rsidRDefault="001A19E1" w:rsidP="00F83942">
      <w:pPr>
        <w:spacing w:after="100" w:afterAutospacing="1"/>
        <w:ind w:firstLine="0"/>
        <w:jc w:val="both"/>
        <w:outlineLvl w:val="0"/>
        <w:rPr>
          <w:bCs/>
        </w:rPr>
      </w:pPr>
      <w:r>
        <w:rPr>
          <w:bCs/>
        </w:rPr>
        <w:tab/>
      </w:r>
      <w:r w:rsidR="005355F0">
        <w:rPr>
          <w:bCs/>
        </w:rPr>
        <w:t>1927 doğumlu b</w:t>
      </w:r>
      <w:r>
        <w:rPr>
          <w:bCs/>
        </w:rPr>
        <w:t>aşvuran Lefkoşa’</w:t>
      </w:r>
      <w:r w:rsidR="005355F0">
        <w:rPr>
          <w:bCs/>
        </w:rPr>
        <w:t>da</w:t>
      </w:r>
      <w:r>
        <w:rPr>
          <w:bCs/>
        </w:rPr>
        <w:t xml:space="preserve"> ikamet etmektedir. </w:t>
      </w:r>
    </w:p>
    <w:p w:rsidR="001D18D7" w:rsidRDefault="009744E6" w:rsidP="009744E6">
      <w:pPr>
        <w:pStyle w:val="ListeParagraf"/>
        <w:numPr>
          <w:ilvl w:val="0"/>
          <w:numId w:val="32"/>
        </w:numPr>
        <w:spacing w:after="100" w:afterAutospacing="1"/>
        <w:jc w:val="both"/>
        <w:outlineLvl w:val="0"/>
        <w:rPr>
          <w:bCs/>
        </w:rPr>
      </w:pPr>
      <w:r>
        <w:rPr>
          <w:bCs/>
        </w:rPr>
        <w:t xml:space="preserve">BAŞVURANIN EVİ VE MÜLKÜ </w:t>
      </w:r>
    </w:p>
    <w:p w:rsidR="009744E6" w:rsidRDefault="009744E6" w:rsidP="009744E6">
      <w:pPr>
        <w:spacing w:after="100" w:afterAutospacing="1"/>
        <w:jc w:val="both"/>
      </w:pPr>
      <w:r>
        <w:t>Başvuran, 1974 yılına dek, 28 Ekim Caddesi No: 33, Girne (Kuzey Kıbrıs) adresinde sahip olduğu evde kalıcı olarak ikamet ettiğini iddia etmiştir. Ayrıca Kazafani’de bir bahçe</w:t>
      </w:r>
      <w:r w:rsidR="00BF7AAC">
        <w:t>si</w:t>
      </w:r>
      <w:r>
        <w:t xml:space="preserve"> ve</w:t>
      </w:r>
      <w:r w:rsidR="00BF7AAC">
        <w:t xml:space="preserve"> (“Horteri Chomatovounos” olarak bilinen bölgedeki) </w:t>
      </w:r>
      <w:r>
        <w:t xml:space="preserve">Karmi’de ağaçlık üç </w:t>
      </w:r>
      <w:r w:rsidR="004F2564">
        <w:t>tarl</w:t>
      </w:r>
      <w:r>
        <w:t>a</w:t>
      </w:r>
      <w:r w:rsidR="00BF7AAC">
        <w:t xml:space="preserve">sı bulunmaktadır. </w:t>
      </w:r>
      <w:r w:rsidR="00313A14">
        <w:t xml:space="preserve">Bu mülklerin hepsi Girne’dedir. </w:t>
      </w:r>
    </w:p>
    <w:p w:rsidR="00313A14" w:rsidRDefault="00313A14" w:rsidP="004F2564">
      <w:pPr>
        <w:spacing w:after="100" w:afterAutospacing="1"/>
        <w:jc w:val="both"/>
      </w:pPr>
      <w:r>
        <w:t>Başvurana göre,</w:t>
      </w:r>
      <w:r w:rsidRPr="00313A14">
        <w:t xml:space="preserve"> </w:t>
      </w:r>
      <w:r>
        <w:t xml:space="preserve">190 </w:t>
      </w:r>
      <w:r w:rsidR="00DB0DBC">
        <w:t>m</w:t>
      </w:r>
      <w:r w:rsidR="00DB0DBC" w:rsidRPr="00DB0DBC">
        <w:rPr>
          <w:vertAlign w:val="superscript"/>
        </w:rPr>
        <w:t>2</w:t>
      </w:r>
      <w:r w:rsidR="00DB0DBC">
        <w:t>lik</w:t>
      </w:r>
      <w:r>
        <w:t xml:space="preserve"> evinin üç büyük misafir odası, bir geniş yemek odası ve mut</w:t>
      </w:r>
      <w:r w:rsidR="00DB0DBC">
        <w:t>f</w:t>
      </w:r>
      <w:r>
        <w:t>ağı, dört yatak odası, iki banyosu, bir kileri ve verandaları bulunuyordu.</w:t>
      </w:r>
      <w:r w:rsidR="00BB2B52">
        <w:t xml:space="preserve"> Ev, </w:t>
      </w:r>
      <w:r w:rsidR="00DB0DBC">
        <w:t>753 m</w:t>
      </w:r>
      <w:r w:rsidR="00DB0DBC" w:rsidRPr="00DB0DBC">
        <w:rPr>
          <w:vertAlign w:val="superscript"/>
        </w:rPr>
        <w:t>2</w:t>
      </w:r>
      <w:r w:rsidR="00DB0DBC">
        <w:t>lik bir b</w:t>
      </w:r>
      <w:r w:rsidR="00BB2B52">
        <w:t>a</w:t>
      </w:r>
      <w:r w:rsidR="00DB0DBC">
        <w:t>hçeyle çevrelenmiş</w:t>
      </w:r>
      <w:r w:rsidR="00BB2B52">
        <w:t xml:space="preserve"> olup,</w:t>
      </w:r>
      <w:r w:rsidR="00DB0DBC">
        <w:t xml:space="preserve"> antika ve lüks eşyalarla döşenmişti. </w:t>
      </w:r>
      <w:r w:rsidR="00B8661A">
        <w:t>Başvuran m</w:t>
      </w:r>
      <w:r w:rsidR="00BB2B52">
        <w:t xml:space="preserve">ülkiyet iddialarını desteklemek amacıyla, </w:t>
      </w:r>
      <w:r w:rsidR="00607B32">
        <w:t xml:space="preserve">Kıbrıs Cumhuriyeti’nin verdiği, </w:t>
      </w:r>
      <w:r w:rsidR="002A339C">
        <w:t>Türk tarafının işgal ettiği taşınmazların mülkiyeti</w:t>
      </w:r>
      <w:r w:rsidR="00607B32">
        <w:t>n</w:t>
      </w:r>
      <w:r w:rsidR="002A339C">
        <w:t>e</w:t>
      </w:r>
      <w:r w:rsidR="00607B32">
        <w:t xml:space="preserve"> ilişkin</w:t>
      </w:r>
      <w:r w:rsidR="002A339C">
        <w:t xml:space="preserve"> belgelerin kopyasını çıkarmıştır. </w:t>
      </w:r>
      <w:r w:rsidR="00607B32">
        <w:t>Bu b</w:t>
      </w:r>
      <w:r w:rsidR="00DA1DFB">
        <w:t>e</w:t>
      </w:r>
      <w:r w:rsidR="00607B32">
        <w:t>lgelere göre başvuranın malları aşağıdaki gibi kaydedilmiştir:</w:t>
      </w:r>
    </w:p>
    <w:p w:rsidR="004F2564" w:rsidRPr="00467B16" w:rsidRDefault="004F2564" w:rsidP="004F2564">
      <w:pPr>
        <w:pStyle w:val="JuPara"/>
        <w:spacing w:after="100" w:afterAutospacing="1"/>
        <w:ind w:firstLine="708"/>
        <w:rPr>
          <w:highlight w:val="yellow"/>
        </w:rPr>
      </w:pPr>
      <w:r w:rsidRPr="00A61F1B">
        <w:t xml:space="preserve">(a) </w:t>
      </w:r>
      <w:r>
        <w:t>Girne</w:t>
      </w:r>
      <w:r w:rsidRPr="00A61F1B">
        <w:t xml:space="preserve">/Pano </w:t>
      </w:r>
      <w:r>
        <w:t>Girne</w:t>
      </w:r>
      <w:r w:rsidRPr="00A61F1B">
        <w:t xml:space="preserve">, </w:t>
      </w:r>
      <w:r w:rsidRPr="008C7A70">
        <w:t>45</w:t>
      </w:r>
      <w:r>
        <w:t xml:space="preserve"> parsel</w:t>
      </w:r>
      <w:r w:rsidRPr="008C7A70">
        <w:t>, 12/21.1.12</w:t>
      </w:r>
      <w:r w:rsidRPr="004F2564">
        <w:t xml:space="preserve"> </w:t>
      </w:r>
      <w:r>
        <w:t>pafta</w:t>
      </w:r>
      <w:r w:rsidRPr="008C7A70">
        <w:t>,</w:t>
      </w:r>
      <w:r>
        <w:t xml:space="preserve"> sıra</w:t>
      </w:r>
      <w:r w:rsidRPr="00A61F1B">
        <w:t xml:space="preserve"> no. </w:t>
      </w:r>
      <w:r>
        <w:t>C1703, bahçeli ev</w:t>
      </w:r>
      <w:r w:rsidRPr="008C7A70">
        <w:t>;</w:t>
      </w:r>
    </w:p>
    <w:p w:rsidR="004F2564" w:rsidRPr="00467B16" w:rsidRDefault="004F2564" w:rsidP="004F2564">
      <w:pPr>
        <w:pStyle w:val="JuPara"/>
        <w:spacing w:after="100" w:afterAutospacing="1"/>
        <w:ind w:firstLine="708"/>
        <w:rPr>
          <w:highlight w:val="yellow"/>
        </w:rPr>
      </w:pPr>
      <w:r w:rsidRPr="00916018">
        <w:t xml:space="preserve">(b) </w:t>
      </w:r>
      <w:r>
        <w:t>Girne</w:t>
      </w:r>
      <w:r w:rsidRPr="00916018">
        <w:t>/Kazafani, 95/1/1</w:t>
      </w:r>
      <w:r w:rsidRPr="004F2564">
        <w:t xml:space="preserve"> </w:t>
      </w:r>
      <w:r>
        <w:t>parsel</w:t>
      </w:r>
      <w:r w:rsidRPr="00916018">
        <w:t>, 12/22W2</w:t>
      </w:r>
      <w:r w:rsidRPr="004F2564">
        <w:t xml:space="preserve"> </w:t>
      </w:r>
      <w:r>
        <w:t>pafta</w:t>
      </w:r>
      <w:r w:rsidRPr="00916018">
        <w:t xml:space="preserve">, </w:t>
      </w:r>
      <w:r>
        <w:t>bağ/bahçe;</w:t>
      </w:r>
      <w:r w:rsidRPr="00916018">
        <w:t xml:space="preserve"> 2</w:t>
      </w:r>
      <w:r>
        <w:t>.</w:t>
      </w:r>
      <w:r w:rsidRPr="00916018">
        <w:t xml:space="preserve">351 </w:t>
      </w:r>
      <w:r>
        <w:t>m</w:t>
      </w:r>
      <w:r w:rsidRPr="004F2564">
        <w:rPr>
          <w:vertAlign w:val="superscript"/>
        </w:rPr>
        <w:t>2</w:t>
      </w:r>
      <w:r w:rsidRPr="00916018">
        <w:t>;</w:t>
      </w:r>
    </w:p>
    <w:p w:rsidR="004F2564" w:rsidRPr="00467B16" w:rsidRDefault="004F2564" w:rsidP="004F2564">
      <w:pPr>
        <w:pStyle w:val="JuPara"/>
        <w:spacing w:after="100" w:afterAutospacing="1"/>
        <w:ind w:firstLine="708"/>
        <w:rPr>
          <w:highlight w:val="yellow"/>
        </w:rPr>
      </w:pPr>
      <w:r w:rsidRPr="00916018">
        <w:t xml:space="preserve">(c) </w:t>
      </w:r>
      <w:r>
        <w:t>Girne</w:t>
      </w:r>
      <w:r w:rsidRPr="00916018">
        <w:t>/Karmi, 222</w:t>
      </w:r>
      <w:r w:rsidRPr="004F2564">
        <w:t xml:space="preserve"> </w:t>
      </w:r>
      <w:r>
        <w:t>parsel</w:t>
      </w:r>
      <w:r w:rsidRPr="00916018">
        <w:t>, 12/27E2</w:t>
      </w:r>
      <w:r>
        <w:t xml:space="preserve"> pafta</w:t>
      </w:r>
      <w:r w:rsidRPr="00916018">
        <w:t xml:space="preserve">, </w:t>
      </w:r>
      <w:r>
        <w:t>tarla;</w:t>
      </w:r>
      <w:r w:rsidRPr="00916018">
        <w:t xml:space="preserve"> 3</w:t>
      </w:r>
      <w:r>
        <w:t>.</w:t>
      </w:r>
      <w:r w:rsidRPr="00916018">
        <w:t>138</w:t>
      </w:r>
      <w:r>
        <w:t> m</w:t>
      </w:r>
      <w:r w:rsidRPr="004F2564">
        <w:rPr>
          <w:vertAlign w:val="superscript"/>
        </w:rPr>
        <w:t>2</w:t>
      </w:r>
      <w:r w:rsidRPr="00916018">
        <w:t>;</w:t>
      </w:r>
    </w:p>
    <w:p w:rsidR="004F2564" w:rsidRDefault="004F2564" w:rsidP="004F2564">
      <w:pPr>
        <w:pStyle w:val="JuPara"/>
        <w:spacing w:after="100" w:afterAutospacing="1"/>
        <w:ind w:firstLine="708"/>
        <w:rPr>
          <w:highlight w:val="yellow"/>
        </w:rPr>
      </w:pPr>
      <w:r w:rsidRPr="00916018">
        <w:t xml:space="preserve">(d) </w:t>
      </w:r>
      <w:r>
        <w:t>Girne</w:t>
      </w:r>
      <w:r w:rsidRPr="00916018">
        <w:t>/Karmi, 282</w:t>
      </w:r>
      <w:r w:rsidRPr="004F2564">
        <w:t xml:space="preserve"> </w:t>
      </w:r>
      <w:r>
        <w:t>parsel</w:t>
      </w:r>
      <w:r w:rsidRPr="00916018">
        <w:t>, 12/27E2</w:t>
      </w:r>
      <w:r w:rsidRPr="004F2564">
        <w:t xml:space="preserve"> </w:t>
      </w:r>
      <w:r>
        <w:t>pafta</w:t>
      </w:r>
      <w:r w:rsidRPr="00916018">
        <w:t xml:space="preserve">, </w:t>
      </w:r>
      <w:r>
        <w:t>tarla;</w:t>
      </w:r>
      <w:r w:rsidRPr="00916018">
        <w:t xml:space="preserve"> 1</w:t>
      </w:r>
      <w:r>
        <w:t>.</w:t>
      </w:r>
      <w:r w:rsidRPr="00916018">
        <w:t>650 </w:t>
      </w:r>
      <w:r>
        <w:t>m</w:t>
      </w:r>
      <w:r w:rsidRPr="004F2564">
        <w:rPr>
          <w:vertAlign w:val="superscript"/>
        </w:rPr>
        <w:t>2</w:t>
      </w:r>
      <w:r w:rsidRPr="00916018">
        <w:t>;</w:t>
      </w:r>
    </w:p>
    <w:p w:rsidR="004F2564" w:rsidRDefault="004F2564" w:rsidP="004F2564">
      <w:pPr>
        <w:pStyle w:val="JuPara"/>
        <w:spacing w:after="100" w:afterAutospacing="1"/>
        <w:ind w:firstLine="708"/>
      </w:pPr>
      <w:r w:rsidRPr="00916018">
        <w:t xml:space="preserve">(e) </w:t>
      </w:r>
      <w:r>
        <w:t>Girne</w:t>
      </w:r>
      <w:r w:rsidRPr="00916018">
        <w:t>/Karmi, 291/1</w:t>
      </w:r>
      <w:r w:rsidRPr="004F2564">
        <w:t xml:space="preserve"> </w:t>
      </w:r>
      <w:r>
        <w:t>parsel</w:t>
      </w:r>
      <w:r w:rsidRPr="00916018">
        <w:t>, 12/27E2</w:t>
      </w:r>
      <w:r w:rsidRPr="004F2564">
        <w:t xml:space="preserve"> </w:t>
      </w:r>
      <w:r>
        <w:t>pafta</w:t>
      </w:r>
      <w:r w:rsidRPr="00916018">
        <w:t xml:space="preserve">, </w:t>
      </w:r>
      <w:r>
        <w:t>tarla;</w:t>
      </w:r>
      <w:r w:rsidRPr="00916018">
        <w:t xml:space="preserve"> 2</w:t>
      </w:r>
      <w:r>
        <w:t>.</w:t>
      </w:r>
      <w:r w:rsidRPr="00916018">
        <w:t>264</w:t>
      </w:r>
      <w:r>
        <w:t> m</w:t>
      </w:r>
      <w:r w:rsidRPr="004F2564">
        <w:rPr>
          <w:vertAlign w:val="superscript"/>
        </w:rPr>
        <w:t>2</w:t>
      </w:r>
      <w:r w:rsidRPr="00916018">
        <w:t>.</w:t>
      </w:r>
    </w:p>
    <w:p w:rsidR="004F2564" w:rsidRDefault="000458E7" w:rsidP="00020961">
      <w:pPr>
        <w:pStyle w:val="JuPara"/>
        <w:spacing w:after="100" w:afterAutospacing="1"/>
        <w:ind w:firstLine="708"/>
      </w:pPr>
      <w:r>
        <w:t xml:space="preserve">1974 yılındaki Türk </w:t>
      </w:r>
      <w:r w:rsidR="0023488C">
        <w:t>m</w:t>
      </w:r>
      <w:r>
        <w:t>üdahalesinden bu yana başvuran, işgal altında</w:t>
      </w:r>
      <w:r w:rsidR="00675E86">
        <w:t xml:space="preserve"> olan</w:t>
      </w:r>
      <w:r>
        <w:t>, Türk askerinin kontrolü altındaki topraklarda bulunan mallarından mahrum edilmiş</w:t>
      </w:r>
      <w:r w:rsidR="00A402E2">
        <w:t>, böylece taşınmazlarına erişimi bulunmadığından kullanımından da yararlanamamıştır.</w:t>
      </w:r>
    </w:p>
    <w:p w:rsidR="000F0A87" w:rsidRDefault="000F0A87" w:rsidP="000F0A87">
      <w:pPr>
        <w:pStyle w:val="ListeParagraf"/>
        <w:numPr>
          <w:ilvl w:val="0"/>
          <w:numId w:val="32"/>
        </w:numPr>
        <w:spacing w:after="100" w:afterAutospacing="1"/>
        <w:jc w:val="both"/>
      </w:pPr>
      <w:r>
        <w:t>19 TEMMUZ 1989 GÖSTERİLERİ</w:t>
      </w:r>
    </w:p>
    <w:p w:rsidR="000F0A87" w:rsidRDefault="000F0A87" w:rsidP="000F0A87">
      <w:pPr>
        <w:spacing w:after="100" w:afterAutospacing="1"/>
        <w:jc w:val="both"/>
      </w:pPr>
      <w:r>
        <w:t xml:space="preserve">19 Temmuz 1989 tarihinde, başvuran, Lefkoşa’da Ayios Kassianos bölgesindeki, </w:t>
      </w:r>
      <w:r w:rsidR="00F83C7B" w:rsidRPr="00A464FD">
        <w:rPr>
          <w:i/>
        </w:rPr>
        <w:t xml:space="preserve">Chrysostomos </w:t>
      </w:r>
      <w:r w:rsidR="00F83C7B">
        <w:rPr>
          <w:i/>
        </w:rPr>
        <w:t>ve</w:t>
      </w:r>
      <w:r w:rsidR="00F83C7B" w:rsidRPr="00A464FD">
        <w:rPr>
          <w:i/>
        </w:rPr>
        <w:t xml:space="preserve"> Papachrysostomou </w:t>
      </w:r>
      <w:r w:rsidR="00F83C7B">
        <w:rPr>
          <w:i/>
        </w:rPr>
        <w:t>-</w:t>
      </w:r>
      <w:r w:rsidR="00F83C7B" w:rsidRPr="00A464FD">
        <w:rPr>
          <w:i/>
        </w:rPr>
        <w:t> T</w:t>
      </w:r>
      <w:r w:rsidR="00F83C7B">
        <w:rPr>
          <w:i/>
        </w:rPr>
        <w:t>ürkiye</w:t>
      </w:r>
      <w:r w:rsidR="00F83C7B">
        <w:t xml:space="preserve"> ile </w:t>
      </w:r>
      <w:r w:rsidR="00F83C7B" w:rsidRPr="00A464FD">
        <w:rPr>
          <w:i/>
        </w:rPr>
        <w:t>Loizidou</w:t>
      </w:r>
      <w:r w:rsidR="00F83C7B">
        <w:rPr>
          <w:i/>
        </w:rPr>
        <w:t>-</w:t>
      </w:r>
      <w:r w:rsidR="00F83C7B" w:rsidRPr="00A464FD">
        <w:rPr>
          <w:i/>
        </w:rPr>
        <w:t> T</w:t>
      </w:r>
      <w:r w:rsidR="00F83C7B">
        <w:rPr>
          <w:i/>
        </w:rPr>
        <w:t>ürkiye</w:t>
      </w:r>
      <w:r w:rsidR="00F83C7B" w:rsidRPr="00A464FD">
        <w:rPr>
          <w:i/>
        </w:rPr>
        <w:t xml:space="preserve"> </w:t>
      </w:r>
      <w:r>
        <w:t xml:space="preserve">davası başvuranlarının da yer aldığı Türk karşıtı gösterilere katılmıştır. </w:t>
      </w:r>
    </w:p>
    <w:p w:rsidR="00675E86" w:rsidRDefault="00675E86" w:rsidP="000F0A87">
      <w:pPr>
        <w:spacing w:after="100" w:afterAutospacing="1"/>
        <w:jc w:val="both"/>
      </w:pPr>
    </w:p>
    <w:p w:rsidR="007B1B35" w:rsidRPr="00FB4D67" w:rsidRDefault="00556996" w:rsidP="007B1B35">
      <w:pPr>
        <w:pStyle w:val="ListeParagraf"/>
        <w:numPr>
          <w:ilvl w:val="0"/>
          <w:numId w:val="33"/>
        </w:numPr>
        <w:spacing w:after="100" w:afterAutospacing="1"/>
        <w:jc w:val="both"/>
        <w:rPr>
          <w:b/>
        </w:rPr>
      </w:pPr>
      <w:r w:rsidRPr="00FB4D67">
        <w:rPr>
          <w:b/>
        </w:rPr>
        <w:lastRenderedPageBreak/>
        <w:t>Başvurana göre olay</w:t>
      </w:r>
      <w:r w:rsidR="007B1B35" w:rsidRPr="00FB4D67">
        <w:rPr>
          <w:b/>
        </w:rPr>
        <w:t>lar</w:t>
      </w:r>
    </w:p>
    <w:p w:rsidR="007B1B35" w:rsidRDefault="007B1B35" w:rsidP="007B1B35">
      <w:pPr>
        <w:spacing w:after="100" w:afterAutospacing="1"/>
        <w:jc w:val="both"/>
      </w:pPr>
      <w:r>
        <w:t xml:space="preserve">Başvuranın </w:t>
      </w:r>
      <w:r w:rsidR="005B5008">
        <w:t xml:space="preserve">10 Nisan 2000 tarihinde Lefkoşa Bölge Mahkemesi’nde verdiği </w:t>
      </w:r>
      <w:r w:rsidR="005F4EA9">
        <w:t>yeminli ifadesi</w:t>
      </w:r>
      <w:r w:rsidR="002C0EE9">
        <w:t>n</w:t>
      </w:r>
      <w:r w:rsidR="005F4EA9">
        <w:t>e</w:t>
      </w:r>
      <w:r w:rsidR="002C0EE9">
        <w:t xml:space="preserve"> göre, </w:t>
      </w:r>
      <w:r w:rsidR="00D53740">
        <w:t>19 Temmuz 1989 tarihli gösteri barış</w:t>
      </w:r>
      <w:r w:rsidR="00313D0D">
        <w:t>çı</w:t>
      </w:r>
      <w:r w:rsidR="00D53740">
        <w:t xml:space="preserve"> olup, Kıbrıs’taki Türk müdahalesinin 15. </w:t>
      </w:r>
      <w:r w:rsidR="00AD4FA5">
        <w:t>y</w:t>
      </w:r>
      <w:r w:rsidR="00D53740">
        <w:t>ıldönümünde</w:t>
      </w:r>
      <w:r w:rsidR="00AD4FA5">
        <w:t xml:space="preserve">, kayıp vatandaşları desteklemek amacıyla ve insan hakları ihlallerine karşı </w:t>
      </w:r>
      <w:r w:rsidR="00D53740">
        <w:t xml:space="preserve">yapılmıştır. </w:t>
      </w:r>
      <w:r w:rsidR="00AD4FA5">
        <w:t>Başvuran ve diğer kadınlar Ayios</w:t>
      </w:r>
      <w:r w:rsidR="00AD4FA5" w:rsidRPr="00AD4FA5">
        <w:t xml:space="preserve"> </w:t>
      </w:r>
      <w:r w:rsidR="00AD4FA5">
        <w:t xml:space="preserve">Kassianos Okulu’nda toplanıp, adanın kuzey kısmının işgal edilmesine karşı </w:t>
      </w:r>
      <w:r w:rsidR="009C1152">
        <w:t>oturma eylemi</w:t>
      </w:r>
      <w:r w:rsidR="00AD4FA5">
        <w:t xml:space="preserve"> düzenlemeyi planlamışlardır. </w:t>
      </w:r>
      <w:r w:rsidR="00092B96">
        <w:t xml:space="preserve">Ayrıca </w:t>
      </w:r>
      <w:r w:rsidR="00B91DE3">
        <w:t>Kitium Piskoposu’ndan okulun yanında bulunan St. George Kilisesi’nde ayin yönetmesini istemişlerdir.</w:t>
      </w:r>
    </w:p>
    <w:p w:rsidR="00B91DE3" w:rsidRDefault="00C031E7" w:rsidP="007B1B35">
      <w:pPr>
        <w:spacing w:after="100" w:afterAutospacing="1"/>
        <w:jc w:val="both"/>
      </w:pPr>
      <w:r>
        <w:t>Başvuran geldiğinde, okul alanında</w:t>
      </w:r>
      <w:r w:rsidR="00086B2F">
        <w:t>,</w:t>
      </w:r>
      <w:r>
        <w:t xml:space="preserve"> çoğu</w:t>
      </w:r>
      <w:r w:rsidR="00086B2F">
        <w:t>nluğunu</w:t>
      </w:r>
      <w:r>
        <w:t xml:space="preserve"> genç</w:t>
      </w:r>
      <w:r w:rsidR="00086B2F">
        <w:t>lerin oluşturduğu</w:t>
      </w:r>
      <w:r>
        <w:t xml:space="preserve"> bir kadın grubu oturm</w:t>
      </w:r>
      <w:r w:rsidR="00C42D36">
        <w:t>uş, şarkı söylemekteydi.</w:t>
      </w:r>
      <w:r w:rsidR="00B95C29">
        <w:t xml:space="preserve"> </w:t>
      </w:r>
      <w:r w:rsidR="00C87B10">
        <w:t xml:space="preserve">Başvuran bir su tankının yanında duruyordu. Alanda coplu BM askerleri ile Tük polisi de bulunmaktaydı. </w:t>
      </w:r>
    </w:p>
    <w:p w:rsidR="001246C6" w:rsidRDefault="006D7D25" w:rsidP="00721F89">
      <w:pPr>
        <w:spacing w:after="100" w:afterAutospacing="1"/>
        <w:jc w:val="both"/>
      </w:pPr>
      <w:r>
        <w:t xml:space="preserve">BM askerleri göstericileri alanı terk etmeye çağırdı. </w:t>
      </w:r>
      <w:r w:rsidR="0001295C">
        <w:t>Ö</w:t>
      </w:r>
      <w:r w:rsidR="00B00412">
        <w:t>te yand</w:t>
      </w:r>
      <w:r w:rsidR="0001295C">
        <w:t>a</w:t>
      </w:r>
      <w:r w:rsidR="00B00412">
        <w:t xml:space="preserve">n, birkaç saniye içinde Türk polisi kalabalığa koştu. </w:t>
      </w:r>
      <w:r w:rsidR="00FB4407">
        <w:t>Kadınlardan bazıların</w:t>
      </w:r>
      <w:r w:rsidR="00731092">
        <w:t>ı</w:t>
      </w:r>
      <w:r w:rsidR="00FB4407">
        <w:t xml:space="preserve"> elbiselerinden çekiştirerek, silah ve coplarla </w:t>
      </w:r>
      <w:r w:rsidR="00934497">
        <w:t xml:space="preserve">vurdu. </w:t>
      </w:r>
      <w:r w:rsidR="00856073">
        <w:t>Başvuran da itildi ve darbe aldı.</w:t>
      </w:r>
      <w:r w:rsidR="00A9566E">
        <w:t xml:space="preserve"> Kendi ifadesiyle “sağ bacağının kaval kemiğinin altında korkunç bir darbe” hissetti. </w:t>
      </w:r>
      <w:r w:rsidR="00F6567D">
        <w:t xml:space="preserve">Türk askerinin kullandığı süngü darbesi </w:t>
      </w:r>
      <w:r w:rsidR="00F36C0A">
        <w:t xml:space="preserve">olarak tanımladığı keskin bir cisim darbesi </w:t>
      </w:r>
      <w:r w:rsidR="00F6567D">
        <w:t xml:space="preserve">almıştı. </w:t>
      </w:r>
      <w:r w:rsidR="00975671">
        <w:t xml:space="preserve">Bacağı </w:t>
      </w:r>
      <w:r w:rsidR="00984022">
        <w:t>aşırı miktarda kanamaya ba</w:t>
      </w:r>
      <w:r w:rsidR="006C46E7">
        <w:t>ş</w:t>
      </w:r>
      <w:r w:rsidR="00984022">
        <w:t>ladı ve bilincin</w:t>
      </w:r>
      <w:r w:rsidR="006C46E7">
        <w:t>i</w:t>
      </w:r>
      <w:r w:rsidR="00984022">
        <w:t xml:space="preserve"> kaybetti. </w:t>
      </w:r>
      <w:r w:rsidR="0046524D">
        <w:t>“</w:t>
      </w:r>
      <w:r w:rsidR="00721F89">
        <w:t xml:space="preserve">Yardım edin, lütfen, bacağım </w:t>
      </w:r>
      <w:r w:rsidR="0046524D">
        <w:t xml:space="preserve">kesildi,” </w:t>
      </w:r>
      <w:r w:rsidR="00721F89">
        <w:t>d</w:t>
      </w:r>
      <w:r w:rsidR="0046524D">
        <w:t xml:space="preserve">iye bağırmaya başladı. </w:t>
      </w:r>
      <w:r w:rsidR="003A766E">
        <w:t xml:space="preserve">Göstericiler </w:t>
      </w:r>
      <w:r w:rsidR="00F82EE2">
        <w:t xml:space="preserve">tarafından </w:t>
      </w:r>
      <w:r w:rsidR="003A766E">
        <w:t>sedyeye ta</w:t>
      </w:r>
      <w:r w:rsidR="00F82EE2">
        <w:t>ş</w:t>
      </w:r>
      <w:r w:rsidR="003A766E">
        <w:t>ı</w:t>
      </w:r>
      <w:r w:rsidR="00F82EE2">
        <w:t>n</w:t>
      </w:r>
      <w:r w:rsidR="003A766E">
        <w:t>ı</w:t>
      </w:r>
      <w:r w:rsidR="00F82EE2">
        <w:t>p,</w:t>
      </w:r>
      <w:r w:rsidR="003A766E">
        <w:t xml:space="preserve"> bir </w:t>
      </w:r>
      <w:r w:rsidR="00F82EE2">
        <w:t>a</w:t>
      </w:r>
      <w:r w:rsidR="003A766E">
        <w:t>mb</w:t>
      </w:r>
      <w:r w:rsidR="00106705">
        <w:t>u</w:t>
      </w:r>
      <w:r w:rsidR="003A766E">
        <w:t xml:space="preserve">lansla Lefkoşa Devlet Hastanesi’ne götürüldü. </w:t>
      </w:r>
    </w:p>
    <w:p w:rsidR="000A6F7A" w:rsidRDefault="000A6F7A" w:rsidP="00721F89">
      <w:pPr>
        <w:spacing w:after="100" w:afterAutospacing="1"/>
        <w:jc w:val="both"/>
      </w:pPr>
      <w:r>
        <w:t xml:space="preserve">Hastanede yarası içten ve dıştan dikildi. On gün istirahat etmesi gerektiği söylendi. Başvuran </w:t>
      </w:r>
      <w:r w:rsidR="001F072D">
        <w:t>bac</w:t>
      </w:r>
      <w:r w:rsidR="006A7117">
        <w:t>ağ</w:t>
      </w:r>
      <w:r w:rsidR="001F072D">
        <w:t>ında</w:t>
      </w:r>
      <w:r w:rsidR="006A7117" w:rsidRPr="006A7117">
        <w:t xml:space="preserve"> </w:t>
      </w:r>
      <w:r w:rsidR="006A7117">
        <w:t>altı ay</w:t>
      </w:r>
      <w:r w:rsidR="001F072D">
        <w:t xml:space="preserve"> dayanılmaz ağrılar hissetmiştir. </w:t>
      </w:r>
      <w:r w:rsidR="00C80EF5">
        <w:t xml:space="preserve">Yürüyememiş, bacağının üzerine ağırlık </w:t>
      </w:r>
      <w:r w:rsidR="005E4197">
        <w:t>bindirememi</w:t>
      </w:r>
      <w:r w:rsidR="00C80EF5">
        <w:t>ş, koltuk değneği kullanmak zorunda</w:t>
      </w:r>
      <w:r w:rsidR="00857328">
        <w:t xml:space="preserve"> </w:t>
      </w:r>
      <w:r w:rsidR="00C80EF5">
        <w:t xml:space="preserve">kalmıştır. </w:t>
      </w:r>
      <w:r w:rsidR="007314CF">
        <w:t xml:space="preserve">Hava değişimleriyle </w:t>
      </w:r>
      <w:r w:rsidR="005E4197">
        <w:t>bağlan</w:t>
      </w:r>
      <w:r w:rsidR="007314CF">
        <w:t>tılı olarak ağrı çekmiştir. Merdiven çıkmakta sorun yaşamaya devam etmektedir ve bacağındaki yara</w:t>
      </w:r>
      <w:r w:rsidR="00953B29">
        <w:t xml:space="preserve"> </w:t>
      </w:r>
      <w:r w:rsidR="007314CF">
        <w:t>izi geçmemiştir.</w:t>
      </w:r>
    </w:p>
    <w:p w:rsidR="007314CF" w:rsidRDefault="00953B29" w:rsidP="00721F89">
      <w:pPr>
        <w:spacing w:after="100" w:afterAutospacing="1"/>
        <w:jc w:val="both"/>
      </w:pPr>
      <w:r>
        <w:t>Gösterinin üzerinden yıllar geçmiş olup, yaranın acı verdiğine tanık olan şahitlerden üçü (ikisi arkadaş, diğeri bir yerel gazetenin editörü</w:t>
      </w:r>
      <w:r w:rsidR="00C34263">
        <w:t xml:space="preserve">) vefat etmişlerdir. Öte yandan tanıklardan Olga Nicolaidou’nun yeminli ifadesi, başvuranın anlattığı olayları doğrulamaktadır. </w:t>
      </w:r>
    </w:p>
    <w:p w:rsidR="00C34263" w:rsidRDefault="00C34263" w:rsidP="00721F89">
      <w:pPr>
        <w:spacing w:after="100" w:afterAutospacing="1"/>
        <w:jc w:val="both"/>
      </w:pPr>
      <w:r>
        <w:t xml:space="preserve">Başvuran kötü muamele iddialarını desteklemek amacıyla, </w:t>
      </w:r>
      <w:r w:rsidR="007D41CD">
        <w:t xml:space="preserve">Lefkoşa’da bulunan ortopedik cerrahi uzmanı </w:t>
      </w:r>
      <w:r>
        <w:t>Doktor Stelios Georgiou</w:t>
      </w:r>
      <w:r w:rsidR="00265E3F">
        <w:t xml:space="preserve"> tarafından düzenlenen </w:t>
      </w:r>
      <w:r>
        <w:t xml:space="preserve"> 27 Mart 2000 tarihli tıbbi raporu sunmuştur. </w:t>
      </w:r>
    </w:p>
    <w:p w:rsidR="00124B6D" w:rsidRPr="002645D5" w:rsidRDefault="00124B6D" w:rsidP="00124B6D">
      <w:pPr>
        <w:pStyle w:val="ListeParagraf"/>
        <w:numPr>
          <w:ilvl w:val="0"/>
          <w:numId w:val="33"/>
        </w:numPr>
        <w:spacing w:after="100" w:afterAutospacing="1"/>
        <w:jc w:val="both"/>
        <w:rPr>
          <w:b/>
        </w:rPr>
      </w:pPr>
      <w:r w:rsidRPr="002645D5">
        <w:rPr>
          <w:b/>
        </w:rPr>
        <w:t>Hükümet’e göre olaylar</w:t>
      </w:r>
    </w:p>
    <w:p w:rsidR="00124B6D" w:rsidRDefault="009825CE" w:rsidP="00124B6D">
      <w:pPr>
        <w:spacing w:after="100" w:afterAutospacing="1"/>
        <w:jc w:val="both"/>
      </w:pPr>
      <w:r>
        <w:t>Hükümet</w:t>
      </w:r>
      <w:r w:rsidR="002645D5">
        <w:t xml:space="preserve">, </w:t>
      </w:r>
      <w:r w:rsidR="005E07A2">
        <w:t>başvuranın Türk karşıtı düşünceleri tahrik etmeyi amaçlayan şiddet içerikli bir gösteride yer aldığını</w:t>
      </w:r>
      <w:r>
        <w:t xml:space="preserve"> iddia etmiştir. </w:t>
      </w:r>
      <w:r w:rsidR="005E07A2">
        <w:t>Yunan-Kıbrıs yönetiminin desteklediği göstericiler,</w:t>
      </w:r>
      <w:r w:rsidR="007F0C25">
        <w:t xml:space="preserve"> Lefkoşa’daki “Yeşil Hat”ın </w:t>
      </w:r>
      <w:r w:rsidR="0099325C">
        <w:t xml:space="preserve">kaldırılmasını talep ediyorlardı. </w:t>
      </w:r>
      <w:r w:rsidR="00ED0960">
        <w:t>İç</w:t>
      </w:r>
      <w:r w:rsidR="006A1C48">
        <w:t>l</w:t>
      </w:r>
      <w:r w:rsidR="00ED0960">
        <w:t>erinde</w:t>
      </w:r>
      <w:r w:rsidR="006A1C48">
        <w:t>n bazıları</w:t>
      </w:r>
      <w:r w:rsidR="00ED0960">
        <w:t xml:space="preserve"> Yunan bayrakları, sopalar, bıçaklar ve tel makasları taşımaktaydı. </w:t>
      </w:r>
      <w:r w:rsidR="006A1C48">
        <w:t>Provokatif bir şekilde</w:t>
      </w:r>
      <w:r w:rsidR="00A941F2">
        <w:t xml:space="preserve"> davranıp</w:t>
      </w:r>
      <w:r w:rsidR="006A1C48">
        <w:t xml:space="preserve">, tahrik edici söylemler bağırıyorlardı. </w:t>
      </w:r>
      <w:r w:rsidR="00A941F2">
        <w:t xml:space="preserve">Göstericiler Yunanca ve İngilizce, </w:t>
      </w:r>
      <w:r w:rsidR="00A14468">
        <w:t xml:space="preserve">dağılmadıkları takdirde KKTC yasalarına göre </w:t>
      </w:r>
      <w:r w:rsidR="00BC6D78">
        <w:t>tutuklanacakları</w:t>
      </w:r>
      <w:r w:rsidR="00A14468">
        <w:t xml:space="preserve"> yönünde uyarılmışlardır. </w:t>
      </w:r>
      <w:r w:rsidR="005D5326">
        <w:t>Başvuran</w:t>
      </w:r>
      <w:r w:rsidR="008E1640">
        <w:t>,</w:t>
      </w:r>
      <w:r w:rsidR="005D5326">
        <w:t xml:space="preserve"> </w:t>
      </w:r>
      <w:r w:rsidR="00294E97">
        <w:t>BM tampon bölge</w:t>
      </w:r>
      <w:r w:rsidR="00F92FAC">
        <w:t>sin</w:t>
      </w:r>
      <w:r w:rsidR="00294E97">
        <w:t xml:space="preserve">i geçip Kıbrıs-Türk kontrolü denetimindeki topraklara geçtikten sonra </w:t>
      </w:r>
      <w:r w:rsidR="00DD732C">
        <w:t xml:space="preserve">Kıbrıs-Türk polisi tarafından </w:t>
      </w:r>
      <w:r w:rsidR="00294E97">
        <w:t>yakalanmış</w:t>
      </w:r>
      <w:r w:rsidR="008C3826">
        <w:t xml:space="preserve">tır. </w:t>
      </w:r>
      <w:r w:rsidR="0083328C">
        <w:t>Kıbrıs-Türk polisi</w:t>
      </w:r>
      <w:r w:rsidR="00F5361F">
        <w:t xml:space="preserve">, Kıbrıs-Yunan </w:t>
      </w:r>
      <w:r w:rsidR="00BF18C8">
        <w:t xml:space="preserve">makamları ile Kıbrıs’taki BM Gücü’nün </w:t>
      </w:r>
      <w:r w:rsidR="00032FC8">
        <w:t xml:space="preserve">bir </w:t>
      </w:r>
      <w:r w:rsidR="00BF18C8">
        <w:t>saldırı ve bunun muhtemel</w:t>
      </w:r>
      <w:r w:rsidR="00032FC8">
        <w:t xml:space="preserve"> </w:t>
      </w:r>
      <w:r w:rsidR="00BF18C8">
        <w:t xml:space="preserve">sonuçlarını </w:t>
      </w:r>
      <w:r w:rsidR="008E1640">
        <w:t>frenlemedeki apaçık yetersizliği karşısında olaya</w:t>
      </w:r>
      <w:r w:rsidR="0083328C">
        <w:t xml:space="preserve"> müdahale etmiştir. </w:t>
      </w:r>
    </w:p>
    <w:p w:rsidR="00032FC8" w:rsidRDefault="00032FC8" w:rsidP="00124B6D">
      <w:pPr>
        <w:spacing w:after="100" w:afterAutospacing="1"/>
        <w:jc w:val="both"/>
      </w:pPr>
      <w:r>
        <w:lastRenderedPageBreak/>
        <w:t>KKTC sınırına izinsiz girmeyen</w:t>
      </w:r>
      <w:r w:rsidRPr="00032FC8">
        <w:t xml:space="preserve"> </w:t>
      </w:r>
      <w:r>
        <w:t>göster</w:t>
      </w:r>
      <w:r w:rsidR="00502E33">
        <w:t>icilere karşı güç kullanılmamış</w:t>
      </w:r>
      <w:r w:rsidR="003C2135">
        <w:t>tır. Sınırı ihlal ettik</w:t>
      </w:r>
      <w:r w:rsidR="00502E33">
        <w:t>l</w:t>
      </w:r>
      <w:r w:rsidR="003C2135">
        <w:t xml:space="preserve">eri için </w:t>
      </w:r>
      <w:r w:rsidR="00BC6D78">
        <w:t xml:space="preserve">tutuklanan </w:t>
      </w:r>
      <w:r w:rsidR="003C2135">
        <w:t>göstericilere de</w:t>
      </w:r>
      <w:r w:rsidR="00224E94">
        <w:t xml:space="preserve">, sözkonusu kişilerin yakalanıp </w:t>
      </w:r>
      <w:r w:rsidR="00291ABF">
        <w:t>tutuklan</w:t>
      </w:r>
      <w:r w:rsidR="00224E94">
        <w:t>dığı koşullarda makul ölçüden</w:t>
      </w:r>
      <w:r w:rsidR="00303013">
        <w:t xml:space="preserve"> fazla güç kullanılmamış</w:t>
      </w:r>
      <w:r w:rsidR="003C2135">
        <w:t xml:space="preserve">tır. </w:t>
      </w:r>
      <w:r w:rsidR="00BA5A25">
        <w:t>Kimse kötü muamel</w:t>
      </w:r>
      <w:r w:rsidR="00964F75">
        <w:t>e</w:t>
      </w:r>
      <w:r w:rsidR="00BA5A25">
        <w:t xml:space="preserve">ye maruz kalmamıştır. </w:t>
      </w:r>
      <w:r w:rsidR="00B854FF">
        <w:t>Göstericilerden bazılarının karmaşada veya dikenli telleri geçmeye çalışırken kendi kendilerini yaralamaları muhtemeldir. Türk polisi ya da herhangi biri</w:t>
      </w:r>
      <w:r w:rsidR="008E1640">
        <w:t>,</w:t>
      </w:r>
      <w:r w:rsidR="00B854FF">
        <w:t xml:space="preserve"> göstericilere saldırsa ya da vursaydı, BM Genel Sekreterliği</w:t>
      </w:r>
      <w:r w:rsidR="00B84C4B">
        <w:t xml:space="preserve"> bu durumdan Güvenlik Konseyi’ne gönderdiği raporda muhakkak bahsederdi.</w:t>
      </w:r>
    </w:p>
    <w:p w:rsidR="00EF182C" w:rsidRPr="006A1B1E" w:rsidRDefault="006A1B1E" w:rsidP="00EF182C">
      <w:pPr>
        <w:pStyle w:val="ListeParagraf"/>
        <w:numPr>
          <w:ilvl w:val="0"/>
          <w:numId w:val="33"/>
        </w:numPr>
        <w:spacing w:after="100" w:afterAutospacing="1"/>
        <w:jc w:val="both"/>
        <w:rPr>
          <w:b/>
        </w:rPr>
      </w:pPr>
      <w:r w:rsidRPr="006A1B1E">
        <w:rPr>
          <w:b/>
        </w:rPr>
        <w:t>BM Gen</w:t>
      </w:r>
      <w:r w:rsidR="00EF182C" w:rsidRPr="006A1B1E">
        <w:rPr>
          <w:b/>
        </w:rPr>
        <w:t>el Sekreterliği’nin raporu</w:t>
      </w:r>
    </w:p>
    <w:p w:rsidR="00EF182C" w:rsidRDefault="006A1B1E" w:rsidP="00EF182C">
      <w:pPr>
        <w:spacing w:after="100" w:afterAutospacing="1"/>
        <w:jc w:val="both"/>
      </w:pPr>
      <w:r>
        <w:t>BM Genel Sekreterliği’nin 7 Aralık 1989 tarihli Kıbrıs’taki BM operasyonlarına ilişkin raporudur.</w:t>
      </w:r>
    </w:p>
    <w:p w:rsidR="006A1B1E" w:rsidRDefault="006A1B1E" w:rsidP="006A1B1E">
      <w:pPr>
        <w:spacing w:after="100" w:afterAutospacing="1"/>
        <w:ind w:firstLine="0"/>
        <w:jc w:val="both"/>
      </w:pPr>
    </w:p>
    <w:p w:rsidR="006A1B1E" w:rsidRPr="00F92FAC" w:rsidRDefault="006A1B1E" w:rsidP="006A1B1E">
      <w:pPr>
        <w:spacing w:after="100" w:afterAutospacing="1"/>
        <w:ind w:firstLine="0"/>
        <w:jc w:val="both"/>
        <w:rPr>
          <w:sz w:val="28"/>
          <w:szCs w:val="28"/>
        </w:rPr>
      </w:pPr>
      <w:r w:rsidRPr="00F92FAC">
        <w:rPr>
          <w:sz w:val="28"/>
          <w:szCs w:val="28"/>
        </w:rPr>
        <w:t>HUKUK</w:t>
      </w:r>
    </w:p>
    <w:p w:rsidR="006A1B1E" w:rsidRPr="00F92FAC" w:rsidRDefault="006A1B1E" w:rsidP="006A1B1E">
      <w:pPr>
        <w:spacing w:after="100" w:afterAutospacing="1"/>
        <w:ind w:firstLine="0"/>
        <w:jc w:val="both"/>
        <w:rPr>
          <w:b/>
        </w:rPr>
      </w:pPr>
      <w:r w:rsidRPr="00F92FAC">
        <w:rPr>
          <w:b/>
        </w:rPr>
        <w:t>I. BEKLETİCİ MESELE</w:t>
      </w:r>
    </w:p>
    <w:p w:rsidR="006A1B1E" w:rsidRDefault="006A1B1E" w:rsidP="006A1B1E">
      <w:pPr>
        <w:spacing w:after="100" w:afterAutospacing="1"/>
        <w:ind w:firstLine="708"/>
        <w:jc w:val="both"/>
      </w:pPr>
      <w:r>
        <w:t xml:space="preserve">Başvurunun kabuledilebilirliğine ilişkin kararında, AİHM, </w:t>
      </w:r>
      <w:r w:rsidRPr="006A1B1E">
        <w:rPr>
          <w:i/>
        </w:rPr>
        <w:t xml:space="preserve">Loizidou </w:t>
      </w:r>
      <w:r>
        <w:rPr>
          <w:i/>
        </w:rPr>
        <w:t>-</w:t>
      </w:r>
      <w:r w:rsidRPr="006A1B1E">
        <w:rPr>
          <w:i/>
        </w:rPr>
        <w:t xml:space="preserve"> Türkiye</w:t>
      </w:r>
      <w:r>
        <w:t xml:space="preserve"> davasındaki </w:t>
      </w:r>
      <w:r w:rsidR="000D7F17">
        <w:t>tespitleri</w:t>
      </w:r>
      <w:r>
        <w:t xml:space="preserve"> ışığında,</w:t>
      </w:r>
      <w:r w:rsidR="003E0CF8">
        <w:t xml:space="preserve"> AİHS’nin 3, 11 ve 14. maddeleri ile AİHS’ye Ek 1 No’lu Protokol’ün 1. maddesinin </w:t>
      </w:r>
      <w:r w:rsidR="002A3722">
        <w:t xml:space="preserve">ihlal edildiği iddialarının </w:t>
      </w:r>
      <w:r w:rsidR="003E0CF8">
        <w:t>Türkiye’ye isnat edilebilir</w:t>
      </w:r>
      <w:r w:rsidR="001D2A99">
        <w:t xml:space="preserve"> nitelikte</w:t>
      </w:r>
      <w:r w:rsidR="003E0CF8">
        <w:t xml:space="preserve"> olduğunu</w:t>
      </w:r>
      <w:r>
        <w:t xml:space="preserve"> ifade etmiştir</w:t>
      </w:r>
      <w:r w:rsidR="000B40E3">
        <w:t xml:space="preserve">. </w:t>
      </w:r>
      <w:r w:rsidR="00E57289">
        <w:t xml:space="preserve">Sonuç olarak, </w:t>
      </w:r>
      <w:r w:rsidR="00F728DF">
        <w:t xml:space="preserve">başvuru, AİHS ve Protokollerinin hükümleriyle şahıs yönünden bağdaşmayacağı gerekçesiyle reddedilemez. </w:t>
      </w:r>
    </w:p>
    <w:p w:rsidR="000C2340" w:rsidRDefault="000C2340" w:rsidP="00762E54">
      <w:pPr>
        <w:spacing w:after="100" w:afterAutospacing="1"/>
        <w:ind w:firstLine="708"/>
        <w:jc w:val="both"/>
      </w:pPr>
      <w:r>
        <w:t xml:space="preserve">AİHM, </w:t>
      </w:r>
      <w:r w:rsidR="007752C3">
        <w:t xml:space="preserve">bu </w:t>
      </w:r>
      <w:r w:rsidR="000D7F17">
        <w:t>tespitlerin</w:t>
      </w:r>
      <w:r w:rsidR="007752C3">
        <w:t xml:space="preserve"> dışına çıkılmasını gerektirecek </w:t>
      </w:r>
      <w:r w:rsidR="008E1640">
        <w:t>nedenler</w:t>
      </w:r>
      <w:r w:rsidR="007752C3">
        <w:t xml:space="preserve"> tespit etmemiştir. </w:t>
      </w:r>
      <w:r w:rsidR="00762E54">
        <w:t>Bu nedenle, şikayet konusu eylemlerden, Kuzey Kıbrıs Türk Cumhu</w:t>
      </w:r>
      <w:r w:rsidR="000223BD">
        <w:t>r</w:t>
      </w:r>
      <w:r w:rsidR="00762E54">
        <w:t xml:space="preserve">iyeti’ne (“KKTC”) ait olsa bile, </w:t>
      </w:r>
      <w:r w:rsidR="000223BD">
        <w:t xml:space="preserve">Türkiye’nin </w:t>
      </w:r>
      <w:r w:rsidR="00762E54">
        <w:t xml:space="preserve">sorumlu olduğu varsayımı üzerinden devam eder. </w:t>
      </w:r>
    </w:p>
    <w:p w:rsidR="00032157" w:rsidRPr="00E513E2" w:rsidRDefault="008821F2" w:rsidP="008821F2">
      <w:pPr>
        <w:spacing w:after="100" w:afterAutospacing="1"/>
        <w:ind w:firstLine="0"/>
        <w:jc w:val="both"/>
        <w:rPr>
          <w:b/>
        </w:rPr>
      </w:pPr>
      <w:r w:rsidRPr="00E513E2">
        <w:rPr>
          <w:b/>
        </w:rPr>
        <w:t xml:space="preserve">II. </w:t>
      </w:r>
      <w:r w:rsidR="00032157" w:rsidRPr="00E513E2">
        <w:rPr>
          <w:b/>
        </w:rPr>
        <w:t>AİHS’YE EK 1 NO’LU PROTOKOL’ÜN 1. MADDESİNİN İHL</w:t>
      </w:r>
      <w:r w:rsidRPr="00E513E2">
        <w:rPr>
          <w:b/>
        </w:rPr>
        <w:t>A</w:t>
      </w:r>
      <w:r w:rsidR="00032157" w:rsidRPr="00E513E2">
        <w:rPr>
          <w:b/>
        </w:rPr>
        <w:t>L EDİLDİĞİ İDDİASI</w:t>
      </w:r>
    </w:p>
    <w:p w:rsidR="00FD1F8F" w:rsidRDefault="00FD1F8F" w:rsidP="00FD1F8F">
      <w:pPr>
        <w:spacing w:after="100" w:afterAutospacing="1"/>
        <w:ind w:firstLine="708"/>
        <w:jc w:val="both"/>
      </w:pPr>
      <w:r>
        <w:t xml:space="preserve">Başvuran, 1974 yılından bu yana, Türkiye’nin kendisini </w:t>
      </w:r>
      <w:r w:rsidRPr="00FD1F8F">
        <w:t>mülkiyetin çekişmesiz kullanımı</w:t>
      </w:r>
      <w:r>
        <w:t xml:space="preserve"> hakkından mahrum bıraktığından şikayetçi olmuştur. </w:t>
      </w:r>
    </w:p>
    <w:p w:rsidR="00FD1F8F" w:rsidRDefault="00FD1F8F" w:rsidP="00FD1F8F">
      <w:pPr>
        <w:spacing w:after="100" w:afterAutospacing="1"/>
        <w:ind w:firstLine="708"/>
        <w:jc w:val="both"/>
      </w:pPr>
      <w:r>
        <w:t xml:space="preserve">Ek 1 No’lu Protokol’ün 1. maddesine dayanmıştır. </w:t>
      </w:r>
    </w:p>
    <w:p w:rsidR="00FD1F8F" w:rsidRDefault="00FD1F8F" w:rsidP="00FD1F8F">
      <w:pPr>
        <w:spacing w:after="100" w:afterAutospacing="1"/>
        <w:ind w:firstLine="708"/>
        <w:jc w:val="both"/>
      </w:pPr>
      <w:r>
        <w:t xml:space="preserve">Hükümet bu iddiayı reddetmektedir. </w:t>
      </w:r>
    </w:p>
    <w:p w:rsidR="000E360E" w:rsidRPr="002854A7" w:rsidRDefault="000E360E" w:rsidP="000E360E">
      <w:pPr>
        <w:pStyle w:val="ListeParagraf"/>
        <w:numPr>
          <w:ilvl w:val="0"/>
          <w:numId w:val="35"/>
        </w:numPr>
        <w:spacing w:after="100" w:afterAutospacing="1"/>
        <w:jc w:val="both"/>
        <w:rPr>
          <w:b/>
        </w:rPr>
      </w:pPr>
      <w:r w:rsidRPr="002854A7">
        <w:rPr>
          <w:b/>
        </w:rPr>
        <w:t>Tarafların argüman</w:t>
      </w:r>
      <w:r w:rsidR="002854A7" w:rsidRPr="002854A7">
        <w:rPr>
          <w:b/>
        </w:rPr>
        <w:t>l</w:t>
      </w:r>
      <w:r w:rsidRPr="002854A7">
        <w:rPr>
          <w:b/>
        </w:rPr>
        <w:t>arı</w:t>
      </w:r>
    </w:p>
    <w:p w:rsidR="002854A7" w:rsidRDefault="002854A7" w:rsidP="002854A7">
      <w:pPr>
        <w:pStyle w:val="ListeParagraf"/>
        <w:spacing w:after="100" w:afterAutospacing="1"/>
        <w:ind w:left="1068" w:firstLine="0"/>
        <w:jc w:val="both"/>
      </w:pPr>
    </w:p>
    <w:p w:rsidR="000E360E" w:rsidRDefault="000E360E" w:rsidP="000E360E">
      <w:pPr>
        <w:pStyle w:val="ListeParagraf"/>
        <w:numPr>
          <w:ilvl w:val="0"/>
          <w:numId w:val="36"/>
        </w:numPr>
        <w:spacing w:after="100" w:afterAutospacing="1"/>
        <w:jc w:val="both"/>
        <w:rPr>
          <w:i/>
        </w:rPr>
      </w:pPr>
      <w:r w:rsidRPr="002854A7">
        <w:rPr>
          <w:i/>
        </w:rPr>
        <w:t>Hükümet</w:t>
      </w:r>
    </w:p>
    <w:p w:rsidR="002854A7" w:rsidRDefault="002854A7" w:rsidP="002854A7">
      <w:pPr>
        <w:spacing w:after="100" w:afterAutospacing="1"/>
        <w:jc w:val="both"/>
      </w:pPr>
      <w:r>
        <w:t xml:space="preserve">Hükümet, KKTC’nin </w:t>
      </w:r>
      <w:r w:rsidR="003C1505">
        <w:t>aslında, başvuranın kendisine ait olduğunu iddia ettiği mülkiyeti kamulaştırmak için harekete geçtiğine</w:t>
      </w:r>
      <w:r>
        <w:t xml:space="preserve"> işaret etmiştir. </w:t>
      </w:r>
      <w:r w:rsidR="0005247A">
        <w:t xml:space="preserve">AİHS kapsamında yasal olarak geçerli olduğuna hükmedilmiş </w:t>
      </w:r>
      <w:r w:rsidR="00364066">
        <w:t>KKTC’nin kanunlarını uygulamamak gerçek</w:t>
      </w:r>
      <w:r w:rsidR="00152BC2">
        <w:t>çi olmaz.</w:t>
      </w:r>
      <w:r w:rsidR="00364066">
        <w:t xml:space="preserve"> </w:t>
      </w:r>
    </w:p>
    <w:p w:rsidR="0005247A" w:rsidRDefault="00EB0669" w:rsidP="002854A7">
      <w:pPr>
        <w:spacing w:after="100" w:afterAutospacing="1"/>
        <w:jc w:val="both"/>
      </w:pPr>
      <w:r>
        <w:t xml:space="preserve">Hükümet, </w:t>
      </w:r>
      <w:r w:rsidR="0005247A">
        <w:t xml:space="preserve">AİHM’nin </w:t>
      </w:r>
      <w:r w:rsidRPr="00EB0669">
        <w:rPr>
          <w:i/>
        </w:rPr>
        <w:t xml:space="preserve">Loizidou </w:t>
      </w:r>
      <w:r>
        <w:rPr>
          <w:i/>
        </w:rPr>
        <w:t>-</w:t>
      </w:r>
      <w:r w:rsidRPr="00EB0669">
        <w:rPr>
          <w:i/>
        </w:rPr>
        <w:t xml:space="preserve"> Türkiye</w:t>
      </w:r>
      <w:r>
        <w:t xml:space="preserve"> davasında varmış olduğu sonuçları </w:t>
      </w:r>
      <w:r w:rsidR="0005247A">
        <w:t>sorgula</w:t>
      </w:r>
      <w:r>
        <w:t>yarak,</w:t>
      </w:r>
      <w:r w:rsidR="0005247A">
        <w:t xml:space="preserve"> </w:t>
      </w:r>
      <w:r w:rsidR="00AD74E0">
        <w:t>başvuranın mülküne erişemeyişinin</w:t>
      </w:r>
      <w:r w:rsidR="003704C3">
        <w:t xml:space="preserve">, ateşkes düzenlemeleri, nüfusun yeniden yerleştirilmesi anlaşması, nüfusun boşaltılması anlaşması, BM tampon bölgesinin durumu ve </w:t>
      </w:r>
      <w:r w:rsidR="003704C3">
        <w:lastRenderedPageBreak/>
        <w:t>Kıbrıs sorununun çözülme olasılığı için üzerinde anlaşılmış iki uluslu toplum ve iki bölgelilik ilkeleri gibi</w:t>
      </w:r>
      <w:r w:rsidR="00AD74E0">
        <w:t xml:space="preserve"> birkaç etmene bağlı olduğunu ortaya koymuştur. </w:t>
      </w:r>
      <w:r w:rsidR="003704C3">
        <w:t>Ayrıca,</w:t>
      </w:r>
      <w:r w:rsidR="00A417EF">
        <w:t xml:space="preserve"> </w:t>
      </w:r>
      <w:r w:rsidR="00D30417">
        <w:t xml:space="preserve">19 Temmuz 1989 tarihli gösterinin amacı siyasi propaganda yapmaktır, başvuran gerçekten mülküne gitme niyetinde değildi.  </w:t>
      </w:r>
    </w:p>
    <w:p w:rsidR="00D30417" w:rsidRDefault="00CB6106" w:rsidP="002854A7">
      <w:pPr>
        <w:spacing w:after="100" w:afterAutospacing="1"/>
        <w:jc w:val="both"/>
      </w:pPr>
      <w:r>
        <w:t xml:space="preserve">Ek 1 No’lu Protokol’ün 1. </w:t>
      </w:r>
      <w:r w:rsidR="0086597A">
        <w:t>m</w:t>
      </w:r>
      <w:r>
        <w:t xml:space="preserve">addesi kapsamında sorun doğabileceği farz edilse bile, Hükümet, başvuranın mülkiyet haklarına yapılan müdahalenin bu hüküm kapsamında gerekçelendiğini savunmuştur. </w:t>
      </w:r>
      <w:r w:rsidR="001713B3">
        <w:t xml:space="preserve">Özellikle, </w:t>
      </w:r>
      <w:r w:rsidR="00A40F3F">
        <w:t>nüfusun yeniden yerleştirilmesi</w:t>
      </w:r>
      <w:r w:rsidR="006B75A0">
        <w:t>nd</w:t>
      </w:r>
      <w:r w:rsidR="00A40F3F">
        <w:t>e</w:t>
      </w:r>
      <w:r w:rsidR="006B75A0">
        <w:t xml:space="preserve">n dolayı, Kıbrıslı </w:t>
      </w:r>
      <w:r w:rsidR="00A40F3F">
        <w:t xml:space="preserve">Türk </w:t>
      </w:r>
      <w:r w:rsidR="006B75A0">
        <w:t>mültecileri</w:t>
      </w:r>
      <w:r w:rsidR="00581479">
        <w:t>n</w:t>
      </w:r>
      <w:r w:rsidR="006B75A0">
        <w:t xml:space="preserve"> eski durumlarına dönmelerine olanak sağlayıp, </w:t>
      </w:r>
      <w:r w:rsidR="00740586">
        <w:t>terk</w:t>
      </w:r>
      <w:r w:rsidR="00581479">
        <w:t xml:space="preserve"> </w:t>
      </w:r>
      <w:r w:rsidR="00740586">
        <w:t xml:space="preserve">edilmiş Kıbrıs Rum mülklerini onarıp, daha iyi biçimde kullanıma sunmak </w:t>
      </w:r>
      <w:r w:rsidR="006B75A0">
        <w:t xml:space="preserve">gerekli olmuştur. </w:t>
      </w:r>
      <w:r w:rsidR="00330164">
        <w:t xml:space="preserve">Mülkiyet hakkının kullanımı, </w:t>
      </w:r>
      <w:r w:rsidR="009B7F60">
        <w:t>toplumlararası müzakerenin zarar görmemesinde kamu yararı olduğu için</w:t>
      </w:r>
      <w:r w:rsidR="00330164">
        <w:t xml:space="preserve"> sınırlanmak durumunda kalmıştır.</w:t>
      </w:r>
      <w:r w:rsidR="009B7F60">
        <w:t xml:space="preserve"> BM tampon bölgesinin durumu, mülkiyete erişim hakkının</w:t>
      </w:r>
      <w:r w:rsidR="00F600D3">
        <w:t>,</w:t>
      </w:r>
      <w:r w:rsidR="0009087C">
        <w:t xml:space="preserve"> siyasi sorun çözülene dek</w:t>
      </w:r>
      <w:r w:rsidR="00F600D3">
        <w:t>,</w:t>
      </w:r>
      <w:r w:rsidR="009B7F60">
        <w:t xml:space="preserve"> düzenlenmesi</w:t>
      </w:r>
      <w:r w:rsidR="00B44562">
        <w:t xml:space="preserve">ni gerekli kılmıştır. </w:t>
      </w:r>
    </w:p>
    <w:p w:rsidR="0009087C" w:rsidRDefault="0009087C" w:rsidP="002854A7">
      <w:pPr>
        <w:spacing w:after="100" w:afterAutospacing="1"/>
        <w:jc w:val="both"/>
      </w:pPr>
      <w:r>
        <w:t>Yukarıda belirtilenler ışığında,</w:t>
      </w:r>
      <w:r w:rsidR="002F38AA">
        <w:t xml:space="preserve"> Hükümet, </w:t>
      </w:r>
      <w:r w:rsidR="005B33ED">
        <w:t xml:space="preserve">siyasi durumdan bağımsız olarak </w:t>
      </w:r>
      <w:r w:rsidR="002F38AA">
        <w:t>bireysel başvuranlara mülkiyete erişim hakkı</w:t>
      </w:r>
      <w:r w:rsidR="005B33ED">
        <w:t xml:space="preserve"> ile buna bağlı mülkiyet hakkı</w:t>
      </w:r>
      <w:r w:rsidR="002F38AA">
        <w:t xml:space="preserve"> verilmesinin gerçek dışı olacağını belirtmiştir. </w:t>
      </w:r>
      <w:r w:rsidR="005B33ED">
        <w:t xml:space="preserve">Mülkiyet ve tazminat meselesi ancak müzakere yoluyla düzenlenebilir. </w:t>
      </w:r>
    </w:p>
    <w:p w:rsidR="00AC1F75" w:rsidRPr="00AC1F75" w:rsidRDefault="00AC1F75" w:rsidP="00AC1F75">
      <w:pPr>
        <w:pStyle w:val="ListeParagraf"/>
        <w:numPr>
          <w:ilvl w:val="0"/>
          <w:numId w:val="36"/>
        </w:numPr>
        <w:spacing w:after="100" w:afterAutospacing="1"/>
        <w:jc w:val="both"/>
        <w:rPr>
          <w:i/>
        </w:rPr>
      </w:pPr>
      <w:r w:rsidRPr="00AC1F75">
        <w:rPr>
          <w:i/>
        </w:rPr>
        <w:t>Başvuran</w:t>
      </w:r>
    </w:p>
    <w:p w:rsidR="00AC1F75" w:rsidRDefault="00AC1F75" w:rsidP="00AC1F75">
      <w:pPr>
        <w:spacing w:after="100" w:afterAutospacing="1"/>
        <w:ind w:firstLine="708"/>
        <w:jc w:val="both"/>
      </w:pPr>
      <w:r>
        <w:t>Başvuran,</w:t>
      </w:r>
      <w:r w:rsidR="00EC3B93">
        <w:t xml:space="preserve"> Kıbrıs Cumhuriyeti’nin verdiği</w:t>
      </w:r>
      <w:r>
        <w:t xml:space="preserve"> ilgili mülkiyet belgelerinin de kanıtladığı üzere, yukarıda bahsedilen mülklerin sahibi olduğunu vurgulamıştır. </w:t>
      </w:r>
      <w:r w:rsidR="00203F5F">
        <w:t>Savunmacı Hükümet</w:t>
      </w:r>
      <w:r w:rsidR="00FC57E8">
        <w:t xml:space="preserve">, 1974 yılından bu yana yasadışı biçimde alıkoyduğu Tapu Dairesi’nden eksiksiz ve asıl kayıtları edinememiştir. </w:t>
      </w:r>
    </w:p>
    <w:p w:rsidR="00FC57E8" w:rsidRDefault="00FC57E8" w:rsidP="00AC1F75">
      <w:pPr>
        <w:spacing w:after="100" w:afterAutospacing="1"/>
        <w:ind w:firstLine="708"/>
        <w:jc w:val="both"/>
      </w:pPr>
      <w:r>
        <w:t>Başvuran</w:t>
      </w:r>
      <w:r w:rsidR="00876D29">
        <w:t>, mülkiyet hakkına müdahalenin</w:t>
      </w:r>
      <w:r w:rsidR="00111233">
        <w:t>, yasalar veya orantılılık ilkesiyle uyumlu olmadığı gerekçesiyle</w:t>
      </w:r>
      <w:r w:rsidR="00E53A15">
        <w:t xml:space="preserve"> Ek 1 No’lu Protokol’ün 1. maddesi çerçevesinde haklı gösterilemeyeceğini</w:t>
      </w:r>
      <w:r>
        <w:t xml:space="preserve"> savunmuştur. </w:t>
      </w:r>
      <w:r w:rsidR="00111233">
        <w:t xml:space="preserve">AİHM’nin </w:t>
      </w:r>
      <w:r w:rsidR="00111233" w:rsidRPr="00111233">
        <w:rPr>
          <w:i/>
        </w:rPr>
        <w:t xml:space="preserve">Loizidou </w:t>
      </w:r>
      <w:r w:rsidR="00111233">
        <w:t xml:space="preserve">davasındaki </w:t>
      </w:r>
      <w:r w:rsidR="000D7F17">
        <w:t>tespitlerine</w:t>
      </w:r>
      <w:r w:rsidR="00111233">
        <w:t xml:space="preserve"> dayanmıştır. </w:t>
      </w:r>
    </w:p>
    <w:p w:rsidR="00111233" w:rsidRPr="0042485C" w:rsidRDefault="00784C87" w:rsidP="00111233">
      <w:pPr>
        <w:pStyle w:val="ListeParagraf"/>
        <w:numPr>
          <w:ilvl w:val="0"/>
          <w:numId w:val="36"/>
        </w:numPr>
        <w:spacing w:after="100" w:afterAutospacing="1"/>
        <w:jc w:val="both"/>
        <w:rPr>
          <w:i/>
        </w:rPr>
      </w:pPr>
      <w:r>
        <w:rPr>
          <w:i/>
        </w:rPr>
        <w:t>Müdahil ü</w:t>
      </w:r>
      <w:r w:rsidR="00111233" w:rsidRPr="0042485C">
        <w:rPr>
          <w:i/>
        </w:rPr>
        <w:t>çüncü  taraf</w:t>
      </w:r>
    </w:p>
    <w:p w:rsidR="00111233" w:rsidRDefault="00111233" w:rsidP="00111233">
      <w:pPr>
        <w:spacing w:after="100" w:afterAutospacing="1"/>
        <w:jc w:val="both"/>
      </w:pPr>
      <w:r>
        <w:t>Kıbrıs Hükümeti</w:t>
      </w:r>
      <w:r w:rsidR="0042485C">
        <w:t xml:space="preserve">, Türkiye’nin, </w:t>
      </w:r>
      <w:r w:rsidR="00EC3B93">
        <w:t>Kuzey Kıbrıs’ı</w:t>
      </w:r>
      <w:r w:rsidR="00C359C6">
        <w:t xml:space="preserve"> denetiminde tutması nedeniyle, </w:t>
      </w:r>
      <w:r w:rsidR="00A25FE4">
        <w:t>başvuranın şikayetçi olduğu eylemlerden</w:t>
      </w:r>
      <w:r w:rsidR="0042485C">
        <w:t xml:space="preserve"> sorumlu tutulması gerektiğini</w:t>
      </w:r>
      <w:r>
        <w:t xml:space="preserve"> </w:t>
      </w:r>
      <w:r w:rsidR="0042485C">
        <w:t xml:space="preserve">belirtmiştir. </w:t>
      </w:r>
      <w:r w:rsidR="00EC3B93">
        <w:t>Toplumlararası müzakere</w:t>
      </w:r>
      <w:r w:rsidR="00F600D3">
        <w:t>,</w:t>
      </w:r>
      <w:r w:rsidR="00F67AC5">
        <w:t xml:space="preserve"> mülkiyet hakkının ihlal</w:t>
      </w:r>
      <w:r w:rsidR="00F600D3">
        <w:t>ine</w:t>
      </w:r>
      <w:r w:rsidR="00F67AC5">
        <w:t xml:space="preserve"> devam edilmesine haklı gerekçe sağlayamaz. </w:t>
      </w:r>
      <w:r w:rsidR="0076387F">
        <w:t xml:space="preserve">Savunmacı Hükümet’in atıfta bulunduğu </w:t>
      </w:r>
      <w:r w:rsidR="00F15349">
        <w:t>amaçlar “kamu yararı” kavramıyla tehlikeye atılamaz, kullanılan araçlar her hal</w:t>
      </w:r>
      <w:r w:rsidR="00581607">
        <w:t>ü</w:t>
      </w:r>
      <w:r w:rsidR="00F15349">
        <w:t>karda tamamen orantısızdı.</w:t>
      </w:r>
    </w:p>
    <w:p w:rsidR="001E6183" w:rsidRPr="00E97A84" w:rsidRDefault="001E6183" w:rsidP="001E6183">
      <w:pPr>
        <w:pStyle w:val="ListeParagraf"/>
        <w:numPr>
          <w:ilvl w:val="0"/>
          <w:numId w:val="35"/>
        </w:numPr>
        <w:spacing w:after="100" w:afterAutospacing="1"/>
        <w:jc w:val="both"/>
        <w:rPr>
          <w:b/>
        </w:rPr>
      </w:pPr>
      <w:r w:rsidRPr="00E97A84">
        <w:rPr>
          <w:b/>
        </w:rPr>
        <w:t>AİHM’nin değerlendirmesi</w:t>
      </w:r>
    </w:p>
    <w:p w:rsidR="001E6183" w:rsidRDefault="001E6183" w:rsidP="00516E22">
      <w:pPr>
        <w:spacing w:after="100" w:afterAutospacing="1"/>
        <w:jc w:val="both"/>
      </w:pPr>
      <w:r>
        <w:t>AİHM</w:t>
      </w:r>
      <w:r w:rsidR="00E97A84">
        <w:t xml:space="preserve">, </w:t>
      </w:r>
      <w:r w:rsidR="005A4544">
        <w:t>öncelikle, başvuranın sunduğu belgelerin, başvuranın sözkonusu mülkiyete hakkı olması konusunda karineden sayılan delil teşkil ettiğini</w:t>
      </w:r>
      <w:r>
        <w:t xml:space="preserve"> kaydeder. </w:t>
      </w:r>
      <w:r w:rsidR="009B793C">
        <w:t xml:space="preserve">Savunmacı Hükümet, </w:t>
      </w:r>
      <w:r w:rsidR="00EE1829">
        <w:t xml:space="preserve">bunu çürütmek için ikna edici delil ortaya koyamamış,  AİHM ise bu mülklerin Ek 1 No’lu Protokol’ün 1. maddesi çerçevesinde başvurana ait oldukları sonucuna varmıştır. </w:t>
      </w:r>
    </w:p>
    <w:p w:rsidR="00265E3F" w:rsidRDefault="00DD43FF" w:rsidP="00DD43FF">
      <w:pPr>
        <w:pStyle w:val="JuPara"/>
        <w:ind w:firstLine="708"/>
      </w:pPr>
      <w:r>
        <w:t xml:space="preserve">AİHM, </w:t>
      </w:r>
      <w:r w:rsidRPr="00DD43FF">
        <w:rPr>
          <w:i/>
        </w:rPr>
        <w:t xml:space="preserve">Loizidou </w:t>
      </w:r>
      <w:r>
        <w:rPr>
          <w:i/>
        </w:rPr>
        <w:t>-</w:t>
      </w:r>
      <w:r w:rsidRPr="00DD43FF">
        <w:rPr>
          <w:i/>
        </w:rPr>
        <w:t xml:space="preserve"> Türkiye</w:t>
      </w:r>
      <w:r>
        <w:t xml:space="preserve"> davasında izleyen sonuçlara vardığının gözlemler</w:t>
      </w:r>
      <w:r w:rsidR="00265E3F">
        <w:t>:</w:t>
      </w:r>
    </w:p>
    <w:p w:rsidR="00DD43FF" w:rsidRDefault="00DD43FF" w:rsidP="00265E3F">
      <w:pPr>
        <w:pStyle w:val="JuPara"/>
      </w:pPr>
    </w:p>
    <w:p w:rsidR="00106ECF" w:rsidRPr="00403EEF" w:rsidRDefault="00106ECF" w:rsidP="00EC3B93">
      <w:pPr>
        <w:spacing w:after="100" w:afterAutospacing="1" w:line="230" w:lineRule="exact"/>
        <w:ind w:left="709"/>
        <w:jc w:val="both"/>
        <w:rPr>
          <w:spacing w:val="-4"/>
          <w:sz w:val="20"/>
          <w:szCs w:val="20"/>
        </w:rPr>
      </w:pPr>
      <w:r w:rsidRPr="00403EEF">
        <w:rPr>
          <w:sz w:val="20"/>
          <w:szCs w:val="20"/>
        </w:rPr>
        <w:t>“</w:t>
      </w:r>
      <w:r w:rsidRPr="00403EEF">
        <w:rPr>
          <w:spacing w:val="-4"/>
          <w:sz w:val="20"/>
          <w:szCs w:val="20"/>
        </w:rPr>
        <w:t xml:space="preserve">63. </w:t>
      </w:r>
      <w:r w:rsidR="00C067F9">
        <w:rPr>
          <w:spacing w:val="-4"/>
          <w:sz w:val="20"/>
          <w:szCs w:val="20"/>
        </w:rPr>
        <w:t>…</w:t>
      </w:r>
      <w:r w:rsidRPr="00403EEF">
        <w:rPr>
          <w:spacing w:val="-4"/>
          <w:sz w:val="20"/>
          <w:szCs w:val="20"/>
        </w:rPr>
        <w:t xml:space="preserve"> başvuran</w:t>
      </w:r>
      <w:r w:rsidR="002B7420">
        <w:rPr>
          <w:spacing w:val="-4"/>
          <w:sz w:val="20"/>
          <w:szCs w:val="20"/>
        </w:rPr>
        <w:t>,</w:t>
      </w:r>
      <w:r w:rsidRPr="00403EEF">
        <w:rPr>
          <w:spacing w:val="-4"/>
          <w:sz w:val="20"/>
          <w:szCs w:val="20"/>
        </w:rPr>
        <w:t xml:space="preserve"> 1974 yılından beri arsasına erişiminin engellenm</w:t>
      </w:r>
      <w:r w:rsidR="00C067F9">
        <w:rPr>
          <w:spacing w:val="-4"/>
          <w:sz w:val="20"/>
          <w:szCs w:val="20"/>
        </w:rPr>
        <w:t xml:space="preserve">esi </w:t>
      </w:r>
      <w:r w:rsidRPr="00403EEF">
        <w:rPr>
          <w:spacing w:val="-4"/>
          <w:sz w:val="20"/>
          <w:szCs w:val="20"/>
        </w:rPr>
        <w:t xml:space="preserve">sonucunda, </w:t>
      </w:r>
      <w:r w:rsidR="00C067F9">
        <w:rPr>
          <w:spacing w:val="-4"/>
          <w:sz w:val="20"/>
          <w:szCs w:val="20"/>
        </w:rPr>
        <w:t>mülkünü kullanma olanak</w:t>
      </w:r>
      <w:r w:rsidRPr="00403EEF">
        <w:rPr>
          <w:spacing w:val="-4"/>
          <w:sz w:val="20"/>
          <w:szCs w:val="20"/>
        </w:rPr>
        <w:t>ları ile birlikte mülkü üzerindeki tüm kontrolünü de kaybetmiştir. Bu</w:t>
      </w:r>
      <w:r w:rsidR="002B7420">
        <w:rPr>
          <w:spacing w:val="-4"/>
          <w:sz w:val="20"/>
          <w:szCs w:val="20"/>
        </w:rPr>
        <w:t>ndan</w:t>
      </w:r>
      <w:r w:rsidRPr="00403EEF">
        <w:rPr>
          <w:spacing w:val="-4"/>
          <w:sz w:val="20"/>
          <w:szCs w:val="20"/>
        </w:rPr>
        <w:t xml:space="preserve"> </w:t>
      </w:r>
      <w:r w:rsidR="002B7420">
        <w:rPr>
          <w:spacing w:val="-4"/>
          <w:sz w:val="20"/>
          <w:szCs w:val="20"/>
        </w:rPr>
        <w:t>ötürü</w:t>
      </w:r>
      <w:r w:rsidRPr="00403EEF">
        <w:rPr>
          <w:spacing w:val="-4"/>
          <w:sz w:val="20"/>
          <w:szCs w:val="20"/>
        </w:rPr>
        <w:t>, başvuranın mülküne erişim hakkın</w:t>
      </w:r>
      <w:r w:rsidR="0075365E">
        <w:rPr>
          <w:spacing w:val="-4"/>
          <w:sz w:val="20"/>
          <w:szCs w:val="20"/>
        </w:rPr>
        <w:t>dan</w:t>
      </w:r>
      <w:r w:rsidRPr="00403EEF">
        <w:rPr>
          <w:spacing w:val="-4"/>
          <w:sz w:val="20"/>
          <w:szCs w:val="20"/>
        </w:rPr>
        <w:t xml:space="preserve"> sürekli olarak </w:t>
      </w:r>
      <w:r w:rsidR="0075365E">
        <w:rPr>
          <w:spacing w:val="-4"/>
          <w:sz w:val="20"/>
          <w:szCs w:val="20"/>
        </w:rPr>
        <w:t>mahrum bırakılması Ek</w:t>
      </w:r>
      <w:r w:rsidR="00273A89">
        <w:rPr>
          <w:spacing w:val="-4"/>
          <w:sz w:val="20"/>
          <w:szCs w:val="20"/>
        </w:rPr>
        <w:t xml:space="preserve"> 1 N</w:t>
      </w:r>
      <w:r w:rsidRPr="00403EEF">
        <w:rPr>
          <w:spacing w:val="-4"/>
          <w:sz w:val="20"/>
          <w:szCs w:val="20"/>
        </w:rPr>
        <w:t>o</w:t>
      </w:r>
      <w:r w:rsidR="00273A89">
        <w:rPr>
          <w:spacing w:val="-4"/>
          <w:sz w:val="20"/>
          <w:szCs w:val="20"/>
        </w:rPr>
        <w:t>’</w:t>
      </w:r>
      <w:r w:rsidRPr="00403EEF">
        <w:rPr>
          <w:spacing w:val="-4"/>
          <w:sz w:val="20"/>
          <w:szCs w:val="20"/>
        </w:rPr>
        <w:t>lu Protokol'ün 1. maddesi kapsamında haklarına müdahale olarak kabul edilmelidir. Başvuran ve Kıbrı</w:t>
      </w:r>
      <w:r w:rsidR="00273A89">
        <w:rPr>
          <w:spacing w:val="-4"/>
          <w:sz w:val="20"/>
          <w:szCs w:val="20"/>
        </w:rPr>
        <w:t>s Hükümeti'nin atıfta bulunduğu</w:t>
      </w:r>
      <w:r w:rsidRPr="00403EEF">
        <w:rPr>
          <w:spacing w:val="-4"/>
          <w:sz w:val="20"/>
          <w:szCs w:val="20"/>
        </w:rPr>
        <w:t xml:space="preserve"> durumlar istisna olmak üzere, anılan türden bir müdahale </w:t>
      </w:r>
      <w:r w:rsidR="00273A89">
        <w:rPr>
          <w:spacing w:val="-4"/>
          <w:sz w:val="20"/>
          <w:szCs w:val="20"/>
        </w:rPr>
        <w:t xml:space="preserve">Ek </w:t>
      </w:r>
      <w:r w:rsidRPr="00403EEF">
        <w:rPr>
          <w:spacing w:val="-4"/>
          <w:sz w:val="20"/>
          <w:szCs w:val="20"/>
        </w:rPr>
        <w:t xml:space="preserve">1. </w:t>
      </w:r>
      <w:r w:rsidR="00273A89">
        <w:rPr>
          <w:spacing w:val="-4"/>
          <w:sz w:val="20"/>
          <w:szCs w:val="20"/>
        </w:rPr>
        <w:t xml:space="preserve">No’lu </w:t>
      </w:r>
      <w:r w:rsidRPr="00403EEF">
        <w:rPr>
          <w:spacing w:val="-4"/>
          <w:sz w:val="20"/>
          <w:szCs w:val="20"/>
        </w:rPr>
        <w:t xml:space="preserve">Protokol’ün 1. maddesinin 1. ve 2. </w:t>
      </w:r>
      <w:r w:rsidRPr="00403EEF">
        <w:rPr>
          <w:spacing w:val="-4"/>
          <w:sz w:val="20"/>
          <w:szCs w:val="20"/>
        </w:rPr>
        <w:lastRenderedPageBreak/>
        <w:t>fıkraları kapsamında mülk</w:t>
      </w:r>
      <w:r w:rsidR="003C0938">
        <w:rPr>
          <w:spacing w:val="-4"/>
          <w:sz w:val="20"/>
          <w:szCs w:val="20"/>
        </w:rPr>
        <w:t>i</w:t>
      </w:r>
      <w:r w:rsidRPr="00403EEF">
        <w:rPr>
          <w:spacing w:val="-4"/>
          <w:sz w:val="20"/>
          <w:szCs w:val="20"/>
        </w:rPr>
        <w:t xml:space="preserve">yetten veya kullanım hakkından mahrum bırakılma şeklinde değerlendirilemez. </w:t>
      </w:r>
      <w:r w:rsidR="007317AA">
        <w:rPr>
          <w:spacing w:val="-4"/>
          <w:sz w:val="20"/>
          <w:szCs w:val="20"/>
        </w:rPr>
        <w:t>Öte yandan</w:t>
      </w:r>
      <w:r w:rsidRPr="00403EEF">
        <w:rPr>
          <w:spacing w:val="-4"/>
          <w:sz w:val="20"/>
          <w:szCs w:val="20"/>
        </w:rPr>
        <w:t>, anılan hükmün ilk cümlesi</w:t>
      </w:r>
      <w:r w:rsidR="004964CA">
        <w:rPr>
          <w:spacing w:val="-4"/>
          <w:sz w:val="20"/>
          <w:szCs w:val="20"/>
        </w:rPr>
        <w:t xml:space="preserve"> çerçevesinde</w:t>
      </w:r>
      <w:r w:rsidR="004964CA" w:rsidRPr="004964CA">
        <w:rPr>
          <w:spacing w:val="-4"/>
          <w:sz w:val="20"/>
          <w:szCs w:val="20"/>
        </w:rPr>
        <w:t xml:space="preserve"> </w:t>
      </w:r>
      <w:r w:rsidR="004964CA" w:rsidRPr="00403EEF">
        <w:rPr>
          <w:spacing w:val="-4"/>
          <w:sz w:val="20"/>
          <w:szCs w:val="20"/>
        </w:rPr>
        <w:t>açık şekilde</w:t>
      </w:r>
      <w:r w:rsidRPr="00403EEF">
        <w:rPr>
          <w:spacing w:val="-4"/>
          <w:sz w:val="20"/>
          <w:szCs w:val="20"/>
        </w:rPr>
        <w:t xml:space="preserve">, mülkünü serbestçe kullanma hakkına müdahale teşkil etmektedir. Bu açıdan bakıldığında, </w:t>
      </w:r>
      <w:r w:rsidR="007317AA">
        <w:rPr>
          <w:spacing w:val="-4"/>
          <w:sz w:val="20"/>
          <w:szCs w:val="20"/>
        </w:rPr>
        <w:t>AİHM</w:t>
      </w:r>
      <w:r w:rsidRPr="00403EEF">
        <w:rPr>
          <w:spacing w:val="-4"/>
          <w:sz w:val="20"/>
          <w:szCs w:val="20"/>
        </w:rPr>
        <w:t xml:space="preserve"> bu engellemenin tıpkı yasal bir engelleme gibi </w:t>
      </w:r>
      <w:r w:rsidR="00132FDD">
        <w:rPr>
          <w:spacing w:val="-4"/>
          <w:sz w:val="20"/>
          <w:szCs w:val="20"/>
        </w:rPr>
        <w:t>AİHS</w:t>
      </w:r>
      <w:r w:rsidRPr="00403EEF">
        <w:rPr>
          <w:spacing w:val="-4"/>
          <w:sz w:val="20"/>
          <w:szCs w:val="20"/>
        </w:rPr>
        <w:t>'nin ihlaline yol açabileceğini gözlemlemektedir.</w:t>
      </w:r>
    </w:p>
    <w:p w:rsidR="00033829" w:rsidRDefault="00732DF6" w:rsidP="00EC3B93">
      <w:pPr>
        <w:spacing w:after="100" w:afterAutospacing="1"/>
        <w:ind w:left="709"/>
        <w:jc w:val="both"/>
        <w:rPr>
          <w:spacing w:val="-4"/>
          <w:sz w:val="20"/>
          <w:szCs w:val="20"/>
        </w:rPr>
      </w:pPr>
      <w:r>
        <w:rPr>
          <w:spacing w:val="-4"/>
          <w:sz w:val="20"/>
          <w:szCs w:val="20"/>
        </w:rPr>
        <w:t>64.</w:t>
      </w:r>
      <w:r w:rsidR="00B05FC6">
        <w:rPr>
          <w:spacing w:val="-4"/>
          <w:sz w:val="20"/>
          <w:szCs w:val="20"/>
        </w:rPr>
        <w:t xml:space="preserve"> </w:t>
      </w:r>
      <w:r w:rsidR="00B05FC6" w:rsidRPr="00403EEF">
        <w:rPr>
          <w:spacing w:val="-4"/>
          <w:sz w:val="20"/>
          <w:szCs w:val="20"/>
        </w:rPr>
        <w:t>Türk Hükümeti</w:t>
      </w:r>
      <w:r w:rsidR="00B05FC6">
        <w:rPr>
          <w:spacing w:val="-4"/>
          <w:sz w:val="20"/>
          <w:szCs w:val="20"/>
        </w:rPr>
        <w:t xml:space="preserve">, </w:t>
      </w:r>
      <w:r w:rsidR="00106ECF" w:rsidRPr="00403EEF">
        <w:rPr>
          <w:spacing w:val="-4"/>
          <w:sz w:val="20"/>
          <w:szCs w:val="20"/>
        </w:rPr>
        <w:t>"KKTC" fiillerinin haklı gösterilmesi adına zorunluluk doktrinine ve mülkiyet haklarının karşılıklı görüşmelere konu ol</w:t>
      </w:r>
      <w:r w:rsidR="00B05FC6">
        <w:rPr>
          <w:spacing w:val="-4"/>
          <w:sz w:val="20"/>
          <w:szCs w:val="20"/>
        </w:rPr>
        <w:t>masına yönelik atıflar dışında</w:t>
      </w:r>
      <w:r w:rsidR="00106ECF" w:rsidRPr="00403EEF">
        <w:rPr>
          <w:spacing w:val="-4"/>
          <w:sz w:val="20"/>
          <w:szCs w:val="20"/>
        </w:rPr>
        <w:t xml:space="preserve">, </w:t>
      </w:r>
      <w:r w:rsidR="00B05FC6" w:rsidRPr="00403EEF">
        <w:rPr>
          <w:spacing w:val="-4"/>
          <w:sz w:val="20"/>
          <w:szCs w:val="20"/>
        </w:rPr>
        <w:t>Türkiye'ye isnat edilebilir nitelikte olan</w:t>
      </w:r>
      <w:r w:rsidR="00B05FC6">
        <w:rPr>
          <w:spacing w:val="-4"/>
          <w:sz w:val="20"/>
          <w:szCs w:val="20"/>
        </w:rPr>
        <w:t xml:space="preserve">, </w:t>
      </w:r>
      <w:r w:rsidR="00106ECF" w:rsidRPr="00403EEF">
        <w:rPr>
          <w:spacing w:val="-4"/>
          <w:sz w:val="20"/>
          <w:szCs w:val="20"/>
        </w:rPr>
        <w:t>başvuranın mülkiyet haklarına müdahalesini haklı göstere</w:t>
      </w:r>
      <w:r w:rsidR="00033829">
        <w:rPr>
          <w:spacing w:val="-4"/>
          <w:sz w:val="20"/>
          <w:szCs w:val="20"/>
        </w:rPr>
        <w:t>cek</w:t>
      </w:r>
      <w:r w:rsidR="00B05FC6" w:rsidRPr="00B05FC6">
        <w:rPr>
          <w:spacing w:val="-4"/>
          <w:sz w:val="20"/>
          <w:szCs w:val="20"/>
        </w:rPr>
        <w:t xml:space="preserve"> </w:t>
      </w:r>
      <w:r w:rsidR="00033829">
        <w:rPr>
          <w:spacing w:val="-4"/>
          <w:sz w:val="20"/>
          <w:szCs w:val="20"/>
        </w:rPr>
        <w:t>hiçbir unsur</w:t>
      </w:r>
      <w:r w:rsidR="00106ECF" w:rsidRPr="00403EEF">
        <w:rPr>
          <w:spacing w:val="-4"/>
          <w:sz w:val="20"/>
          <w:szCs w:val="20"/>
        </w:rPr>
        <w:t xml:space="preserve"> sun</w:t>
      </w:r>
      <w:r w:rsidR="00033829">
        <w:rPr>
          <w:spacing w:val="-4"/>
          <w:sz w:val="20"/>
          <w:szCs w:val="20"/>
        </w:rPr>
        <w:t xml:space="preserve">mamıştır. </w:t>
      </w:r>
    </w:p>
    <w:p w:rsidR="00106ECF" w:rsidRPr="00403EEF" w:rsidRDefault="00106ECF" w:rsidP="00007415">
      <w:pPr>
        <w:spacing w:after="100" w:afterAutospacing="1"/>
        <w:ind w:left="708" w:firstLine="708"/>
        <w:jc w:val="both"/>
        <w:rPr>
          <w:spacing w:val="-4"/>
          <w:sz w:val="20"/>
          <w:szCs w:val="20"/>
        </w:rPr>
      </w:pPr>
      <w:r w:rsidRPr="00403EEF">
        <w:rPr>
          <w:spacing w:val="-4"/>
          <w:sz w:val="20"/>
          <w:szCs w:val="20"/>
        </w:rPr>
        <w:t>Ancak, Türkiye'nin 1974 yılında adaya müdahale etmesini izleyen yıllarda evlerinden uzaklaştırılmış Kıbrıs</w:t>
      </w:r>
      <w:r w:rsidR="00F600D3">
        <w:rPr>
          <w:spacing w:val="-4"/>
          <w:sz w:val="20"/>
          <w:szCs w:val="20"/>
        </w:rPr>
        <w:t>lı</w:t>
      </w:r>
      <w:r w:rsidRPr="00403EEF">
        <w:rPr>
          <w:spacing w:val="-4"/>
          <w:sz w:val="20"/>
          <w:szCs w:val="20"/>
        </w:rPr>
        <w:t xml:space="preserve"> Türk mültecilere tekrar yer sağlanması gereğinin</w:t>
      </w:r>
      <w:r w:rsidR="00F600D3">
        <w:rPr>
          <w:spacing w:val="-4"/>
          <w:sz w:val="20"/>
          <w:szCs w:val="20"/>
        </w:rPr>
        <w:t xml:space="preserve">, tazminatsız bir istimlak ve mülke </w:t>
      </w:r>
      <w:r w:rsidRPr="00403EEF">
        <w:rPr>
          <w:spacing w:val="-4"/>
          <w:sz w:val="20"/>
          <w:szCs w:val="20"/>
        </w:rPr>
        <w:t>erişimin</w:t>
      </w:r>
      <w:r w:rsidR="00F600D3">
        <w:rPr>
          <w:spacing w:val="-4"/>
          <w:sz w:val="20"/>
          <w:szCs w:val="20"/>
        </w:rPr>
        <w:t xml:space="preserve"> sürekli olarak ve tamamen</w:t>
      </w:r>
      <w:r w:rsidRPr="00403EEF">
        <w:rPr>
          <w:spacing w:val="-4"/>
          <w:sz w:val="20"/>
          <w:szCs w:val="20"/>
        </w:rPr>
        <w:t xml:space="preserve"> inkarı şeklinde ortaya çıkan başvuranın mülk</w:t>
      </w:r>
      <w:r w:rsidR="00207E7F">
        <w:rPr>
          <w:spacing w:val="-4"/>
          <w:sz w:val="20"/>
          <w:szCs w:val="20"/>
        </w:rPr>
        <w:t>iyet haklarının tamamen reddini</w:t>
      </w:r>
      <w:r w:rsidRPr="00403EEF">
        <w:rPr>
          <w:spacing w:val="-4"/>
          <w:sz w:val="20"/>
          <w:szCs w:val="20"/>
        </w:rPr>
        <w:t xml:space="preserve"> nasıl haklı gösterdiği açıklanmamıştır.</w:t>
      </w:r>
    </w:p>
    <w:p w:rsidR="00574D2C" w:rsidRPr="00A15F33" w:rsidRDefault="00106ECF" w:rsidP="00A15F33">
      <w:pPr>
        <w:spacing w:line="230" w:lineRule="exact"/>
        <w:ind w:left="708" w:firstLine="708"/>
        <w:jc w:val="both"/>
        <w:rPr>
          <w:spacing w:val="-4"/>
          <w:sz w:val="20"/>
          <w:szCs w:val="20"/>
        </w:rPr>
      </w:pPr>
      <w:r w:rsidRPr="00403EEF">
        <w:rPr>
          <w:spacing w:val="-4"/>
          <w:sz w:val="20"/>
          <w:szCs w:val="20"/>
        </w:rPr>
        <w:t xml:space="preserve">Mülkiyet haklarının Kıbrıs'taki iki topluluk arasındaki karşılıklı görüşmelere konu olması da </w:t>
      </w:r>
      <w:r w:rsidR="00A15F33">
        <w:rPr>
          <w:spacing w:val="-4"/>
          <w:sz w:val="20"/>
          <w:szCs w:val="20"/>
        </w:rPr>
        <w:t>AİHS</w:t>
      </w:r>
      <w:r w:rsidRPr="00403EEF">
        <w:rPr>
          <w:spacing w:val="-4"/>
          <w:sz w:val="20"/>
          <w:szCs w:val="20"/>
        </w:rPr>
        <w:t xml:space="preserve"> kapsamında bu durum için haklı bir neden teşkil etmemektedir.</w:t>
      </w:r>
      <w:r w:rsidR="00A15F33">
        <w:rPr>
          <w:spacing w:val="-4"/>
          <w:sz w:val="20"/>
          <w:szCs w:val="20"/>
        </w:rPr>
        <w:t xml:space="preserve"> </w:t>
      </w:r>
      <w:r w:rsidRPr="00403EEF">
        <w:rPr>
          <w:spacing w:val="-4"/>
          <w:sz w:val="20"/>
          <w:szCs w:val="20"/>
        </w:rPr>
        <w:t xml:space="preserve">Bu koşullar altında, </w:t>
      </w:r>
      <w:r w:rsidR="00A15F33">
        <w:rPr>
          <w:spacing w:val="-4"/>
          <w:sz w:val="20"/>
          <w:szCs w:val="20"/>
        </w:rPr>
        <w:t>AİHM, Ek</w:t>
      </w:r>
      <w:r w:rsidRPr="00403EEF">
        <w:rPr>
          <w:spacing w:val="-4"/>
          <w:sz w:val="20"/>
          <w:szCs w:val="20"/>
        </w:rPr>
        <w:t xml:space="preserve"> 1 </w:t>
      </w:r>
      <w:r w:rsidR="00A15F33">
        <w:rPr>
          <w:spacing w:val="-4"/>
          <w:sz w:val="20"/>
          <w:szCs w:val="20"/>
        </w:rPr>
        <w:t>N</w:t>
      </w:r>
      <w:r w:rsidRPr="00403EEF">
        <w:rPr>
          <w:spacing w:val="-4"/>
          <w:sz w:val="20"/>
          <w:szCs w:val="20"/>
        </w:rPr>
        <w:t>o</w:t>
      </w:r>
      <w:r w:rsidR="00A15F33">
        <w:rPr>
          <w:spacing w:val="-4"/>
          <w:sz w:val="20"/>
          <w:szCs w:val="20"/>
        </w:rPr>
        <w:t>’</w:t>
      </w:r>
      <w:r w:rsidRPr="00403EEF">
        <w:rPr>
          <w:spacing w:val="-4"/>
          <w:sz w:val="20"/>
          <w:szCs w:val="20"/>
        </w:rPr>
        <w:t>lu Protokol'ün 1. maddesinin ihlalinin söz konusu olduğu ve bu ihlalin hala devam etmekte olduğu sonucuna varmaktadır.</w:t>
      </w:r>
      <w:r w:rsidRPr="00403EEF">
        <w:rPr>
          <w:sz w:val="20"/>
          <w:szCs w:val="20"/>
        </w:rPr>
        <w:t>”</w:t>
      </w:r>
    </w:p>
    <w:p w:rsidR="00106ECF" w:rsidRPr="00106ECF" w:rsidRDefault="00106ECF" w:rsidP="00106ECF">
      <w:pPr>
        <w:spacing w:line="230" w:lineRule="exact"/>
        <w:ind w:firstLine="1021"/>
        <w:rPr>
          <w:spacing w:val="-4"/>
        </w:rPr>
      </w:pPr>
    </w:p>
    <w:p w:rsidR="00193750" w:rsidRDefault="00193750" w:rsidP="00516E22">
      <w:pPr>
        <w:spacing w:after="100" w:afterAutospacing="1"/>
        <w:jc w:val="both"/>
      </w:pPr>
      <w:r>
        <w:t xml:space="preserve">AİHM, </w:t>
      </w:r>
      <w:r w:rsidRPr="00193750">
        <w:rPr>
          <w:i/>
        </w:rPr>
        <w:t xml:space="preserve">Loizidou </w:t>
      </w:r>
      <w:r w:rsidR="00D56AE1">
        <w:rPr>
          <w:i/>
        </w:rPr>
        <w:t>-</w:t>
      </w:r>
      <w:r w:rsidRPr="00193750">
        <w:rPr>
          <w:i/>
        </w:rPr>
        <w:t xml:space="preserve"> Türkiye</w:t>
      </w:r>
      <w:r>
        <w:t xml:space="preserve"> ve </w:t>
      </w:r>
      <w:r w:rsidRPr="00193750">
        <w:rPr>
          <w:i/>
        </w:rPr>
        <w:t xml:space="preserve">Kıbrıs </w:t>
      </w:r>
      <w:r w:rsidR="00D56AE1">
        <w:rPr>
          <w:i/>
        </w:rPr>
        <w:t>-</w:t>
      </w:r>
      <w:r w:rsidRPr="00193750">
        <w:rPr>
          <w:i/>
        </w:rPr>
        <w:t xml:space="preserve"> Türkiye</w:t>
      </w:r>
      <w:r>
        <w:t xml:space="preserve"> (25781/94) dava</w:t>
      </w:r>
      <w:r w:rsidR="00E20DD4">
        <w:t>sında izleyen sonuçlar</w:t>
      </w:r>
      <w:r w:rsidR="00B405E9">
        <w:t>a varmıştır.</w:t>
      </w:r>
      <w:r>
        <w:t xml:space="preserve"> </w:t>
      </w:r>
    </w:p>
    <w:p w:rsidR="00A6768D" w:rsidRPr="002367DC" w:rsidRDefault="00A6768D" w:rsidP="00516E22">
      <w:pPr>
        <w:pStyle w:val="NormalWeb"/>
        <w:spacing w:after="100" w:afterAutospacing="1"/>
        <w:ind w:left="709" w:firstLine="707"/>
        <w:jc w:val="both"/>
        <w:rPr>
          <w:color w:val="000000"/>
          <w:sz w:val="20"/>
          <w:szCs w:val="20"/>
        </w:rPr>
      </w:pPr>
      <w:r w:rsidRPr="002367DC">
        <w:rPr>
          <w:sz w:val="20"/>
          <w:szCs w:val="20"/>
        </w:rPr>
        <w:t>“</w:t>
      </w:r>
      <w:r w:rsidR="00E1787A">
        <w:rPr>
          <w:sz w:val="20"/>
          <w:szCs w:val="20"/>
        </w:rPr>
        <w:t xml:space="preserve">187. </w:t>
      </w:r>
      <w:r w:rsidR="004F25CC">
        <w:rPr>
          <w:color w:val="000000"/>
          <w:sz w:val="20"/>
          <w:szCs w:val="20"/>
        </w:rPr>
        <w:t>AİHM</w:t>
      </w:r>
      <w:r w:rsidRPr="002367DC">
        <w:rPr>
          <w:color w:val="000000"/>
          <w:sz w:val="20"/>
          <w:szCs w:val="20"/>
        </w:rPr>
        <w:t xml:space="preserve">, Loizidou kararındaki </w:t>
      </w:r>
      <w:r w:rsidR="00F20777">
        <w:rPr>
          <w:color w:val="000000"/>
          <w:sz w:val="20"/>
          <w:szCs w:val="20"/>
        </w:rPr>
        <w:t xml:space="preserve">(esaslar) </w:t>
      </w:r>
      <w:r w:rsidRPr="002367DC">
        <w:rPr>
          <w:color w:val="000000"/>
          <w:sz w:val="20"/>
          <w:szCs w:val="20"/>
        </w:rPr>
        <w:t xml:space="preserve">muhakemenin ve çıkarımın, </w:t>
      </w:r>
      <w:r w:rsidR="00F20777">
        <w:rPr>
          <w:color w:val="000000"/>
          <w:sz w:val="20"/>
          <w:szCs w:val="20"/>
        </w:rPr>
        <w:t>başvuran</w:t>
      </w:r>
      <w:r w:rsidRPr="002367DC">
        <w:rPr>
          <w:color w:val="000000"/>
          <w:sz w:val="20"/>
          <w:szCs w:val="20"/>
        </w:rPr>
        <w:t xml:space="preserve"> Loizidou gibi, "KKTC" makamlarınca mülklerine erişmelerine izin verilmeyen Kıbrıslı Rumlara eşit şekilde uygulanabileceğine inanmaktadır. Mülklerine erişmelerine sürekli olarak </w:t>
      </w:r>
      <w:r w:rsidR="00300E31">
        <w:rPr>
          <w:color w:val="000000"/>
          <w:sz w:val="20"/>
          <w:szCs w:val="20"/>
        </w:rPr>
        <w:t xml:space="preserve">ve tamamen </w:t>
      </w:r>
      <w:r w:rsidRPr="002367DC">
        <w:rPr>
          <w:color w:val="000000"/>
          <w:sz w:val="20"/>
          <w:szCs w:val="20"/>
        </w:rPr>
        <w:t xml:space="preserve">izin verilmemesi, yerlerinden edilen Kıbrıslı Rumların </w:t>
      </w:r>
      <w:r w:rsidR="00300E31">
        <w:rPr>
          <w:color w:val="000000"/>
          <w:sz w:val="20"/>
          <w:szCs w:val="20"/>
        </w:rPr>
        <w:t>Ek 1 N</w:t>
      </w:r>
      <w:r w:rsidRPr="002367DC">
        <w:rPr>
          <w:color w:val="000000"/>
          <w:sz w:val="20"/>
          <w:szCs w:val="20"/>
        </w:rPr>
        <w:t>o</w:t>
      </w:r>
      <w:r w:rsidR="00300E31">
        <w:rPr>
          <w:color w:val="000000"/>
          <w:sz w:val="20"/>
          <w:szCs w:val="20"/>
        </w:rPr>
        <w:t>’</w:t>
      </w:r>
      <w:r w:rsidRPr="002367DC">
        <w:rPr>
          <w:color w:val="000000"/>
          <w:sz w:val="20"/>
          <w:szCs w:val="20"/>
        </w:rPr>
        <w:t xml:space="preserve">lu Protokolün 1. </w:t>
      </w:r>
      <w:r w:rsidR="006612B8">
        <w:rPr>
          <w:color w:val="000000"/>
          <w:sz w:val="20"/>
          <w:szCs w:val="20"/>
        </w:rPr>
        <w:t>m</w:t>
      </w:r>
      <w:r w:rsidRPr="002367DC">
        <w:rPr>
          <w:color w:val="000000"/>
          <w:sz w:val="20"/>
          <w:szCs w:val="20"/>
        </w:rPr>
        <w:t>addesin</w:t>
      </w:r>
      <w:r w:rsidR="006612B8">
        <w:rPr>
          <w:color w:val="000000"/>
          <w:sz w:val="20"/>
          <w:szCs w:val="20"/>
        </w:rPr>
        <w:t xml:space="preserve">in 1. fıkrasında </w:t>
      </w:r>
      <w:r w:rsidRPr="002367DC">
        <w:rPr>
          <w:color w:val="000000"/>
          <w:sz w:val="20"/>
          <w:szCs w:val="20"/>
        </w:rPr>
        <w:t xml:space="preserve">belirtilen </w:t>
      </w:r>
      <w:r w:rsidR="006612B8" w:rsidRPr="006612B8">
        <w:rPr>
          <w:color w:val="000000"/>
          <w:sz w:val="20"/>
          <w:szCs w:val="20"/>
        </w:rPr>
        <w:t>mülkiyetin çekişmesiz kullanımı</w:t>
      </w:r>
      <w:r w:rsidR="006612B8">
        <w:rPr>
          <w:color w:val="000000"/>
          <w:sz w:val="20"/>
          <w:szCs w:val="20"/>
        </w:rPr>
        <w:t xml:space="preserve"> haklarının </w:t>
      </w:r>
      <w:r w:rsidRPr="002367DC">
        <w:rPr>
          <w:color w:val="000000"/>
          <w:sz w:val="20"/>
          <w:szCs w:val="20"/>
        </w:rPr>
        <w:t xml:space="preserve">açık bir ihlalidir. </w:t>
      </w:r>
    </w:p>
    <w:p w:rsidR="00A6768D" w:rsidRPr="002367DC" w:rsidRDefault="00A6768D" w:rsidP="002367DC">
      <w:pPr>
        <w:spacing w:after="100" w:afterAutospacing="1"/>
        <w:ind w:left="709"/>
        <w:jc w:val="both"/>
        <w:rPr>
          <w:sz w:val="20"/>
          <w:szCs w:val="20"/>
        </w:rPr>
      </w:pPr>
      <w:r w:rsidRPr="002367DC">
        <w:rPr>
          <w:sz w:val="20"/>
          <w:szCs w:val="20"/>
        </w:rPr>
        <w:t>…</w:t>
      </w:r>
    </w:p>
    <w:p w:rsidR="00A6768D" w:rsidRPr="00AB79EE" w:rsidRDefault="00E1787A" w:rsidP="00AB79EE">
      <w:pPr>
        <w:pStyle w:val="NormalWeb"/>
        <w:spacing w:after="100" w:afterAutospacing="1"/>
        <w:ind w:left="709" w:firstLine="707"/>
        <w:jc w:val="both"/>
        <w:rPr>
          <w:color w:val="000000"/>
          <w:sz w:val="20"/>
          <w:szCs w:val="20"/>
        </w:rPr>
      </w:pPr>
      <w:r>
        <w:rPr>
          <w:color w:val="000000"/>
          <w:sz w:val="20"/>
          <w:szCs w:val="20"/>
        </w:rPr>
        <w:t xml:space="preserve">189. … AİHM, </w:t>
      </w:r>
      <w:r w:rsidR="002973EA">
        <w:rPr>
          <w:color w:val="000000"/>
          <w:sz w:val="20"/>
          <w:szCs w:val="20"/>
        </w:rPr>
        <w:t>K</w:t>
      </w:r>
      <w:r w:rsidR="00A6768D" w:rsidRPr="002367DC">
        <w:rPr>
          <w:color w:val="000000"/>
          <w:sz w:val="20"/>
          <w:szCs w:val="20"/>
        </w:rPr>
        <w:t>uzey Kıbrıs'taki mal ve mülklerin sahibi olan Kıbrıslı Rumların mal ve mülklerin</w:t>
      </w:r>
      <w:r w:rsidR="00801F4E">
        <w:rPr>
          <w:color w:val="000000"/>
          <w:sz w:val="20"/>
          <w:szCs w:val="20"/>
        </w:rPr>
        <w:t>in</w:t>
      </w:r>
      <w:r w:rsidR="00A6768D" w:rsidRPr="002367DC">
        <w:rPr>
          <w:color w:val="000000"/>
          <w:sz w:val="20"/>
          <w:szCs w:val="20"/>
        </w:rPr>
        <w:t xml:space="preserve"> erişim</w:t>
      </w:r>
      <w:r w:rsidR="00801F4E">
        <w:rPr>
          <w:color w:val="000000"/>
          <w:sz w:val="20"/>
          <w:szCs w:val="20"/>
        </w:rPr>
        <w:t>i, denetimi ve kullanımına</w:t>
      </w:r>
      <w:r w:rsidR="00A6768D" w:rsidRPr="002367DC">
        <w:rPr>
          <w:color w:val="000000"/>
          <w:sz w:val="20"/>
          <w:szCs w:val="20"/>
        </w:rPr>
        <w:t xml:space="preserve"> izin verilmemesini ve yapılan bu müdahale neticesinde hiçbir tazminat ödenmemesini dikkate alarak, </w:t>
      </w:r>
      <w:r w:rsidR="0026325A">
        <w:rPr>
          <w:color w:val="000000"/>
          <w:sz w:val="20"/>
          <w:szCs w:val="20"/>
        </w:rPr>
        <w:t xml:space="preserve">Ek </w:t>
      </w:r>
      <w:r w:rsidR="00A6768D" w:rsidRPr="002367DC">
        <w:rPr>
          <w:color w:val="000000"/>
          <w:sz w:val="20"/>
          <w:szCs w:val="20"/>
        </w:rPr>
        <w:t xml:space="preserve">1 </w:t>
      </w:r>
      <w:r w:rsidR="0026325A">
        <w:rPr>
          <w:color w:val="000000"/>
          <w:sz w:val="20"/>
          <w:szCs w:val="20"/>
        </w:rPr>
        <w:t>N</w:t>
      </w:r>
      <w:r w:rsidR="00A6768D" w:rsidRPr="002367DC">
        <w:rPr>
          <w:color w:val="000000"/>
          <w:sz w:val="20"/>
          <w:szCs w:val="20"/>
        </w:rPr>
        <w:t>o</w:t>
      </w:r>
      <w:r w:rsidR="0026325A">
        <w:rPr>
          <w:color w:val="000000"/>
          <w:sz w:val="20"/>
          <w:szCs w:val="20"/>
        </w:rPr>
        <w:t>’</w:t>
      </w:r>
      <w:r w:rsidR="00A6768D" w:rsidRPr="002367DC">
        <w:rPr>
          <w:color w:val="000000"/>
          <w:sz w:val="20"/>
          <w:szCs w:val="20"/>
        </w:rPr>
        <w:t>lu Protokol</w:t>
      </w:r>
      <w:r w:rsidR="0026325A">
        <w:rPr>
          <w:color w:val="000000"/>
          <w:sz w:val="20"/>
          <w:szCs w:val="20"/>
        </w:rPr>
        <w:t>’</w:t>
      </w:r>
      <w:r w:rsidR="00A6768D" w:rsidRPr="002367DC">
        <w:rPr>
          <w:color w:val="000000"/>
          <w:sz w:val="20"/>
          <w:szCs w:val="20"/>
        </w:rPr>
        <w:t>ün 1. maddesinin ihlal edil</w:t>
      </w:r>
      <w:r>
        <w:rPr>
          <w:color w:val="000000"/>
          <w:sz w:val="20"/>
          <w:szCs w:val="20"/>
        </w:rPr>
        <w:t>meye devam edildiği</w:t>
      </w:r>
      <w:r w:rsidR="00A6768D" w:rsidRPr="002367DC">
        <w:rPr>
          <w:color w:val="000000"/>
          <w:sz w:val="20"/>
          <w:szCs w:val="20"/>
        </w:rPr>
        <w:t xml:space="preserve"> sonucuna varmıştır.</w:t>
      </w:r>
      <w:r w:rsidR="00A6768D" w:rsidRPr="002367DC">
        <w:rPr>
          <w:sz w:val="20"/>
          <w:szCs w:val="20"/>
        </w:rPr>
        <w:t>”</w:t>
      </w:r>
    </w:p>
    <w:p w:rsidR="001E22FD" w:rsidRDefault="001E22FD" w:rsidP="00193750">
      <w:pPr>
        <w:spacing w:after="100" w:afterAutospacing="1"/>
        <w:jc w:val="both"/>
      </w:pPr>
      <w:r>
        <w:t>AİHM</w:t>
      </w:r>
      <w:r w:rsidR="00C46444">
        <w:t>,</w:t>
      </w:r>
      <w:r>
        <w:t xml:space="preserve"> mevcut davada</w:t>
      </w:r>
      <w:r w:rsidR="008B7BED">
        <w:t>,</w:t>
      </w:r>
      <w:r>
        <w:t xml:space="preserve"> </w:t>
      </w:r>
      <w:r w:rsidRPr="00193750">
        <w:rPr>
          <w:i/>
        </w:rPr>
        <w:t xml:space="preserve">Loizidou </w:t>
      </w:r>
      <w:r>
        <w:rPr>
          <w:i/>
        </w:rPr>
        <w:t>-</w:t>
      </w:r>
      <w:r w:rsidRPr="00193750">
        <w:rPr>
          <w:i/>
        </w:rPr>
        <w:t xml:space="preserve"> Türkiye</w:t>
      </w:r>
      <w:r>
        <w:t xml:space="preserve"> ve </w:t>
      </w:r>
      <w:r w:rsidRPr="00193750">
        <w:rPr>
          <w:i/>
        </w:rPr>
        <w:t xml:space="preserve">Kıbrıs </w:t>
      </w:r>
      <w:r>
        <w:rPr>
          <w:i/>
        </w:rPr>
        <w:t>–</w:t>
      </w:r>
      <w:r w:rsidRPr="00193750">
        <w:rPr>
          <w:i/>
        </w:rPr>
        <w:t xml:space="preserve"> Türkiye</w:t>
      </w:r>
      <w:r>
        <w:t xml:space="preserve"> davas</w:t>
      </w:r>
      <w:r w:rsidR="008B7BED">
        <w:t xml:space="preserve">ında (ayrıca bkz. </w:t>
      </w:r>
      <w:r w:rsidR="008B7BED" w:rsidRPr="008B7BED">
        <w:rPr>
          <w:i/>
        </w:rPr>
        <w:t xml:space="preserve">Demades </w:t>
      </w:r>
      <w:r w:rsidR="008B7BED">
        <w:rPr>
          <w:i/>
        </w:rPr>
        <w:t>-</w:t>
      </w:r>
      <w:r w:rsidR="008B7BED" w:rsidRPr="008B7BED">
        <w:rPr>
          <w:i/>
        </w:rPr>
        <w:t xml:space="preserve"> Türkiye</w:t>
      </w:r>
      <w:r w:rsidR="008B7BED">
        <w:t xml:space="preserve">, 16219/90) </w:t>
      </w:r>
      <w:r>
        <w:t xml:space="preserve">vardığı sonuçların dışına çıkmasını gerektirecek </w:t>
      </w:r>
      <w:r w:rsidR="008B7BED">
        <w:t xml:space="preserve">bir gerekçe görmemektedir. </w:t>
      </w:r>
    </w:p>
    <w:p w:rsidR="00C12E5A" w:rsidRDefault="00C12E5A" w:rsidP="00193750">
      <w:pPr>
        <w:spacing w:after="100" w:afterAutospacing="1"/>
        <w:jc w:val="both"/>
      </w:pPr>
      <w:r>
        <w:t>Buna göre, AİHS’ye Ek 1 No’lu Protokol’ün 1. maddesi</w:t>
      </w:r>
      <w:r w:rsidR="003D304F">
        <w:t>, başvuranın hem mülkiyetine erişim ile denetimi ve kullanımın</w:t>
      </w:r>
      <w:r w:rsidR="00070D6C">
        <w:t>a</w:t>
      </w:r>
      <w:r w:rsidR="003D304F">
        <w:t xml:space="preserve"> hem de mülkiyet hakkına ya</w:t>
      </w:r>
      <w:r w:rsidR="00070D6C">
        <w:t>p</w:t>
      </w:r>
      <w:r w:rsidR="003D304F">
        <w:t xml:space="preserve">ılan müdahale karşısında tazminat hakkından mahrum bırakıldığı için </w:t>
      </w:r>
      <w:r>
        <w:t xml:space="preserve">ihlal edilmiştir. </w:t>
      </w:r>
    </w:p>
    <w:p w:rsidR="003D304F" w:rsidRPr="005072FA" w:rsidRDefault="003D304F" w:rsidP="003D304F">
      <w:pPr>
        <w:spacing w:after="100" w:afterAutospacing="1"/>
        <w:ind w:firstLine="0"/>
        <w:jc w:val="both"/>
        <w:rPr>
          <w:b/>
        </w:rPr>
      </w:pPr>
      <w:r w:rsidRPr="005072FA">
        <w:rPr>
          <w:b/>
        </w:rPr>
        <w:t>III. AİHS’YE EK 1 NO’LU PROTOKOL’ÜN 1. MADDESİYLE BERABER İNCELENDİĞİNDE</w:t>
      </w:r>
      <w:r w:rsidR="0063112B" w:rsidRPr="005072FA">
        <w:rPr>
          <w:b/>
        </w:rPr>
        <w:t xml:space="preserve"> AİHS’NİN İHLAL EDİLDİĞİ İDDİA EDİLEN</w:t>
      </w:r>
      <w:r w:rsidRPr="005072FA">
        <w:rPr>
          <w:b/>
        </w:rPr>
        <w:t xml:space="preserve"> 14. MADDESİ</w:t>
      </w:r>
    </w:p>
    <w:p w:rsidR="003D304F" w:rsidRDefault="003D304F" w:rsidP="003D304F">
      <w:pPr>
        <w:spacing w:after="100" w:afterAutospacing="1"/>
        <w:ind w:firstLine="708"/>
        <w:jc w:val="both"/>
      </w:pPr>
      <w:r>
        <w:t>Başvuran,</w:t>
      </w:r>
      <w:r w:rsidR="002D2B49">
        <w:t xml:space="preserve"> AİHS’ye Ek 1</w:t>
      </w:r>
      <w:r w:rsidR="001F024D">
        <w:t xml:space="preserve"> </w:t>
      </w:r>
      <w:r w:rsidR="002D2B49">
        <w:t>No’</w:t>
      </w:r>
      <w:r w:rsidR="00C10575">
        <w:t>lu Prot</w:t>
      </w:r>
      <w:r w:rsidR="002D2B49">
        <w:t>o</w:t>
      </w:r>
      <w:r w:rsidR="00C10575">
        <w:t>ko</w:t>
      </w:r>
      <w:r w:rsidR="002D2B49">
        <w:t>l’ün 1. maddesi kapsamındaki haklarının kullanımında ayrımcı muameleyle karşılaşması nedeniyle,</w:t>
      </w:r>
      <w:r>
        <w:t xml:space="preserve"> AİHS’nin 14. maddesi</w:t>
      </w:r>
      <w:r w:rsidR="002D2B49">
        <w:t>nin</w:t>
      </w:r>
      <w:r>
        <w:t xml:space="preserve"> ihlal</w:t>
      </w:r>
      <w:r w:rsidR="002D2B49">
        <w:t xml:space="preserve"> edildiğin</w:t>
      </w:r>
      <w:r>
        <w:t xml:space="preserve">den şikayetçi olmuştur. </w:t>
      </w:r>
      <w:r w:rsidR="00F54608">
        <w:t>Bu</w:t>
      </w:r>
      <w:r w:rsidR="00C10575">
        <w:t xml:space="preserve"> ayrımcılığın</w:t>
      </w:r>
      <w:r w:rsidR="00F600D3">
        <w:t>,</w:t>
      </w:r>
      <w:r w:rsidR="00C10575">
        <w:t xml:space="preserve"> uyruğu ile dini inançlarına dayanarak yapıldığını iddia</w:t>
      </w:r>
      <w:r w:rsidR="004D48F8">
        <w:t xml:space="preserve"> </w:t>
      </w:r>
      <w:r w:rsidR="00C10575">
        <w:t xml:space="preserve">etmiştir. </w:t>
      </w:r>
    </w:p>
    <w:p w:rsidR="007172CE" w:rsidRDefault="007172CE" w:rsidP="003D304F">
      <w:pPr>
        <w:spacing w:after="100" w:afterAutospacing="1"/>
        <w:ind w:firstLine="708"/>
        <w:jc w:val="both"/>
      </w:pPr>
      <w:r>
        <w:t xml:space="preserve">AİHM </w:t>
      </w:r>
      <w:r w:rsidRPr="007172CE">
        <w:rPr>
          <w:i/>
        </w:rPr>
        <w:t xml:space="preserve">Alexandrou </w:t>
      </w:r>
      <w:r>
        <w:rPr>
          <w:i/>
        </w:rPr>
        <w:t>-</w:t>
      </w:r>
      <w:r w:rsidRPr="007172CE">
        <w:rPr>
          <w:i/>
        </w:rPr>
        <w:t xml:space="preserve"> Türkiye</w:t>
      </w:r>
      <w:r>
        <w:t xml:space="preserve"> davasında</w:t>
      </w:r>
      <w:r w:rsidR="006219D2">
        <w:t xml:space="preserve"> (16162/90)</w:t>
      </w:r>
      <w:r>
        <w:t xml:space="preserve">, </w:t>
      </w:r>
      <w:r w:rsidR="006219D2">
        <w:t xml:space="preserve">AİHS’nin 14. </w:t>
      </w:r>
      <w:r w:rsidR="00513344">
        <w:t>m</w:t>
      </w:r>
      <w:r w:rsidR="006219D2">
        <w:t xml:space="preserve">addesi kapsamında şikayetin ayrı olarak incelenmesine gerek bulunmadığı kanısına vardığını anımsar. </w:t>
      </w:r>
      <w:r w:rsidR="00A90DB7">
        <w:t xml:space="preserve">AİHM, </w:t>
      </w:r>
      <w:r w:rsidR="00F71664">
        <w:t>mevut davada bu yaklaşımın dış</w:t>
      </w:r>
      <w:r w:rsidR="00B85E36">
        <w:t xml:space="preserve">ına çıkmasını </w:t>
      </w:r>
      <w:r w:rsidR="00F5584B">
        <w:t xml:space="preserve">gerektirecek bir neden </w:t>
      </w:r>
      <w:r w:rsidR="00F5584B">
        <w:lastRenderedPageBreak/>
        <w:t>görememe</w:t>
      </w:r>
      <w:r w:rsidR="00B85E36">
        <w:t>ktedir</w:t>
      </w:r>
      <w:r w:rsidR="00F5584B">
        <w:t xml:space="preserve"> (ayrıca bkz. </w:t>
      </w:r>
      <w:r w:rsidR="00F5584B" w:rsidRPr="00F5584B">
        <w:rPr>
          <w:i/>
        </w:rPr>
        <w:t>mutatis mutandis</w:t>
      </w:r>
      <w:r w:rsidR="00F5584B">
        <w:t xml:space="preserve">, </w:t>
      </w:r>
      <w:r w:rsidR="00F5584B" w:rsidRPr="00F5584B">
        <w:rPr>
          <w:i/>
        </w:rPr>
        <w:t xml:space="preserve">Eugenia Michaelidou Ltd ve Michael Tymvios </w:t>
      </w:r>
      <w:r w:rsidR="00F5584B">
        <w:rPr>
          <w:i/>
        </w:rPr>
        <w:t>-</w:t>
      </w:r>
      <w:r w:rsidR="00F5584B" w:rsidRPr="00F5584B">
        <w:rPr>
          <w:i/>
        </w:rPr>
        <w:t xml:space="preserve"> Türkiye</w:t>
      </w:r>
      <w:r w:rsidR="00F5584B">
        <w:t>, 16163/90)</w:t>
      </w:r>
      <w:r w:rsidR="00B85E36">
        <w:t xml:space="preserve">. </w:t>
      </w:r>
    </w:p>
    <w:p w:rsidR="0063112B" w:rsidRPr="00F71664" w:rsidRDefault="0063112B" w:rsidP="0063112B">
      <w:pPr>
        <w:spacing w:after="100" w:afterAutospacing="1"/>
        <w:ind w:firstLine="0"/>
        <w:jc w:val="both"/>
        <w:rPr>
          <w:b/>
        </w:rPr>
      </w:pPr>
      <w:r w:rsidRPr="00F71664">
        <w:rPr>
          <w:b/>
        </w:rPr>
        <w:t>IV. AİHS’NİN İHLAL EDİLDİĞİ İDDİA EDİLEN 3. MADDESİ</w:t>
      </w:r>
    </w:p>
    <w:p w:rsidR="0063112B" w:rsidRDefault="00F61A95" w:rsidP="00F61A95">
      <w:pPr>
        <w:spacing w:after="100" w:afterAutospacing="1"/>
        <w:ind w:firstLine="708"/>
        <w:jc w:val="both"/>
      </w:pPr>
      <w:r>
        <w:t xml:space="preserve">Başvuran 19 Temmuz 1989 tarihinde düzenlenen gösteride maruz kaldığı muameleden şikayetçi olmuştur. </w:t>
      </w:r>
    </w:p>
    <w:p w:rsidR="00F61A95" w:rsidRDefault="00F61A95" w:rsidP="00F61A95">
      <w:pPr>
        <w:spacing w:after="100" w:afterAutospacing="1"/>
        <w:ind w:firstLine="708"/>
        <w:jc w:val="both"/>
      </w:pPr>
      <w:r>
        <w:t>AİHS’nin 3. maddesine atıfta bulunmuştur.</w:t>
      </w:r>
    </w:p>
    <w:p w:rsidR="00F600D3" w:rsidRDefault="00F600D3" w:rsidP="00F61A95">
      <w:pPr>
        <w:spacing w:after="100" w:afterAutospacing="1"/>
        <w:ind w:firstLine="708"/>
        <w:jc w:val="both"/>
      </w:pPr>
      <w:r>
        <w:t>Hükümet, bu iddiaya karşı çıkmıştır.</w:t>
      </w:r>
    </w:p>
    <w:p w:rsidR="00B97494" w:rsidRPr="00226F2A" w:rsidRDefault="00B97494" w:rsidP="00B97494">
      <w:pPr>
        <w:pStyle w:val="ListeParagraf"/>
        <w:numPr>
          <w:ilvl w:val="0"/>
          <w:numId w:val="37"/>
        </w:numPr>
        <w:spacing w:after="100" w:afterAutospacing="1"/>
        <w:jc w:val="both"/>
        <w:rPr>
          <w:b/>
        </w:rPr>
      </w:pPr>
      <w:r w:rsidRPr="00226F2A">
        <w:rPr>
          <w:b/>
        </w:rPr>
        <w:t>Tarafların argümanları</w:t>
      </w:r>
    </w:p>
    <w:p w:rsidR="00B97494" w:rsidRDefault="00B97494" w:rsidP="00B97494">
      <w:pPr>
        <w:pStyle w:val="ListeParagraf"/>
        <w:spacing w:after="100" w:afterAutospacing="1"/>
        <w:ind w:left="1068" w:firstLine="0"/>
        <w:jc w:val="both"/>
      </w:pPr>
    </w:p>
    <w:p w:rsidR="00B97494" w:rsidRPr="00226F2A" w:rsidRDefault="00B97494" w:rsidP="00B97494">
      <w:pPr>
        <w:pStyle w:val="ListeParagraf"/>
        <w:numPr>
          <w:ilvl w:val="0"/>
          <w:numId w:val="38"/>
        </w:numPr>
        <w:spacing w:after="100" w:afterAutospacing="1"/>
        <w:jc w:val="both"/>
        <w:rPr>
          <w:i/>
        </w:rPr>
      </w:pPr>
      <w:r w:rsidRPr="00226F2A">
        <w:rPr>
          <w:i/>
        </w:rPr>
        <w:t>Hükümet</w:t>
      </w:r>
    </w:p>
    <w:p w:rsidR="00B97494" w:rsidRDefault="00226F2A" w:rsidP="00B97494">
      <w:pPr>
        <w:spacing w:after="100" w:afterAutospacing="1"/>
        <w:jc w:val="both"/>
      </w:pPr>
      <w:r>
        <w:t>Hüküm</w:t>
      </w:r>
      <w:r w:rsidR="00CF2CC9">
        <w:t>e</w:t>
      </w:r>
      <w:r>
        <w:t>t, o</w:t>
      </w:r>
      <w:r w:rsidR="008E4415">
        <w:t>layları</w:t>
      </w:r>
      <w:r w:rsidR="00BB0866">
        <w:t>n</w:t>
      </w:r>
      <w:r w:rsidR="00B97494">
        <w:t xml:space="preserve"> kendi açı</w:t>
      </w:r>
      <w:r w:rsidR="008E4415">
        <w:t>sın</w:t>
      </w:r>
      <w:r w:rsidR="00B97494">
        <w:t>dan sun</w:t>
      </w:r>
      <w:r w:rsidR="008E4415">
        <w:t>duğu biçimine</w:t>
      </w:r>
      <w:r>
        <w:t xml:space="preserve"> </w:t>
      </w:r>
      <w:r w:rsidR="00B97494">
        <w:t xml:space="preserve">dayanarak, </w:t>
      </w:r>
      <w:r w:rsidR="008A5805">
        <w:t>başvurunun bu kısmının</w:t>
      </w:r>
      <w:r w:rsidR="006C0A2B">
        <w:t xml:space="preserve">, </w:t>
      </w:r>
      <w:r w:rsidR="008A5805">
        <w:t xml:space="preserve">Komisyon’un </w:t>
      </w:r>
      <w:r w:rsidR="008A5805" w:rsidRPr="00A464FD">
        <w:rPr>
          <w:i/>
        </w:rPr>
        <w:t xml:space="preserve">Chrysostomos </w:t>
      </w:r>
      <w:r w:rsidR="008A5805">
        <w:rPr>
          <w:i/>
        </w:rPr>
        <w:t>ve</w:t>
      </w:r>
      <w:r w:rsidR="008A5805" w:rsidRPr="00A464FD">
        <w:rPr>
          <w:i/>
        </w:rPr>
        <w:t xml:space="preserve"> Papachrysostomou </w:t>
      </w:r>
      <w:r w:rsidR="00A5748E">
        <w:rPr>
          <w:i/>
        </w:rPr>
        <w:t>-</w:t>
      </w:r>
      <w:r w:rsidR="008A5805" w:rsidRPr="00A464FD">
        <w:rPr>
          <w:i/>
        </w:rPr>
        <w:t> T</w:t>
      </w:r>
      <w:r w:rsidR="008A5805">
        <w:rPr>
          <w:i/>
        </w:rPr>
        <w:t>ürkiye</w:t>
      </w:r>
      <w:r w:rsidR="008A5805">
        <w:t xml:space="preserve"> (</w:t>
      </w:r>
      <w:r w:rsidR="00A5748E">
        <w:t>15299/89</w:t>
      </w:r>
      <w:r w:rsidR="00F600D3">
        <w:t xml:space="preserve"> ve 15300/89</w:t>
      </w:r>
      <w:r w:rsidR="008A5805">
        <w:t>) davasın</w:t>
      </w:r>
      <w:r w:rsidR="00694A1B">
        <w:t>d</w:t>
      </w:r>
      <w:r w:rsidR="008A5805">
        <w:t xml:space="preserve">aki </w:t>
      </w:r>
      <w:r w:rsidR="009C2751">
        <w:t>tespitlerine</w:t>
      </w:r>
      <w:r w:rsidR="00694A1B">
        <w:t xml:space="preserve"> </w:t>
      </w:r>
      <w:r w:rsidR="008A5805">
        <w:t>dayanarak belirle</w:t>
      </w:r>
      <w:r w:rsidR="00504758">
        <w:t>n</w:t>
      </w:r>
      <w:r w:rsidR="008A5805">
        <w:t>mesi gerektiğini</w:t>
      </w:r>
      <w:r w:rsidR="006C0A2B">
        <w:t>,</w:t>
      </w:r>
      <w:r w:rsidR="006C0A2B" w:rsidRPr="006C0A2B">
        <w:t xml:space="preserve"> </w:t>
      </w:r>
      <w:r w:rsidR="006C0A2B">
        <w:t>mevcut davanın somut ve hukuki temellerinin bu pilot davadakilerle aynı olduğunu</w:t>
      </w:r>
      <w:r w:rsidR="008A5805">
        <w:t xml:space="preserve"> belirtmiştir. </w:t>
      </w:r>
    </w:p>
    <w:p w:rsidR="001A624C" w:rsidRDefault="00E07DA5" w:rsidP="001A624C">
      <w:pPr>
        <w:spacing w:after="100" w:afterAutospacing="1"/>
        <w:jc w:val="both"/>
      </w:pPr>
      <w:r>
        <w:t xml:space="preserve">Her halükarda, </w:t>
      </w:r>
      <w:r w:rsidR="00DA7CD1">
        <w:t xml:space="preserve">başvuranın “Türk askeri tarafından saldırıya uğrayıp ciddi biçimde dövüldüğü” iddiası hiçbir somut temele dayanmamaktadır. </w:t>
      </w:r>
      <w:r w:rsidR="00370E31">
        <w:t>Başvuranın anlattığı bi</w:t>
      </w:r>
      <w:r w:rsidR="00B95594">
        <w:t xml:space="preserve">çimiyle olaylar, </w:t>
      </w:r>
      <w:r w:rsidR="001A624C">
        <w:t xml:space="preserve">inandırıcı olmayıp, çelişkilidir: başvuran </w:t>
      </w:r>
      <w:r w:rsidR="00291ABF">
        <w:t>tutuklan</w:t>
      </w:r>
      <w:r w:rsidR="001A624C">
        <w:t>mamıştır, bacağında meydana geldiğini iddia ettiği yara</w:t>
      </w:r>
      <w:r w:rsidR="008D18CB">
        <w:t xml:space="preserve"> cop ya da sopa gibi</w:t>
      </w:r>
      <w:r w:rsidR="001A624C">
        <w:t xml:space="preserve"> kör bir aletin darbeleriyle meydana gelmiş olamaz,</w:t>
      </w:r>
      <w:r w:rsidR="008D18CB">
        <w:t xml:space="preserve"> yaraya</w:t>
      </w:r>
      <w:r w:rsidR="001A624C">
        <w:t xml:space="preserve"> </w:t>
      </w:r>
      <w:r w:rsidR="008D18CB">
        <w:t>ancak dikenli tel gibi kesici bir nesne yol açmış olabilir.</w:t>
      </w:r>
    </w:p>
    <w:p w:rsidR="00DF5064" w:rsidRDefault="00DF5064" w:rsidP="001A624C">
      <w:pPr>
        <w:spacing w:after="100" w:afterAutospacing="1"/>
        <w:jc w:val="both"/>
      </w:pPr>
      <w:r>
        <w:t xml:space="preserve">BM tampon bölgesinin </w:t>
      </w:r>
      <w:r w:rsidR="00A46CC4">
        <w:t>bütünl</w:t>
      </w:r>
      <w:r w:rsidR="00943AA3">
        <w:t xml:space="preserve">üğünü </w:t>
      </w:r>
      <w:r w:rsidR="00511AEB">
        <w:t xml:space="preserve">sivillerin izinsiz giriş veya eylemlerinden </w:t>
      </w:r>
      <w:r w:rsidR="00943AA3">
        <w:t xml:space="preserve">korumanın önemi </w:t>
      </w:r>
      <w:r w:rsidR="00F66581">
        <w:t xml:space="preserve">göz önünde bulundurulduğunda, </w:t>
      </w:r>
      <w:r w:rsidR="008308B3">
        <w:t>başvuranın bölgeyi ihlal etme</w:t>
      </w:r>
      <w:r w:rsidR="006E5E01">
        <w:t>sinin önlenmesi</w:t>
      </w:r>
      <w:r w:rsidR="00F600D3">
        <w:t xml:space="preserve">, başlı başına </w:t>
      </w:r>
      <w:r w:rsidR="0087739E">
        <w:t>AİHS’nin 3. maddesini</w:t>
      </w:r>
      <w:r w:rsidR="00F600D3">
        <w:t>n</w:t>
      </w:r>
      <w:r w:rsidR="006E5E01">
        <w:t xml:space="preserve"> ihlal</w:t>
      </w:r>
      <w:r w:rsidR="00F600D3">
        <w:t>i teşkil etmemektedir.</w:t>
      </w:r>
      <w:r w:rsidR="006E5E01">
        <w:t xml:space="preserve"> </w:t>
      </w:r>
    </w:p>
    <w:p w:rsidR="003D304F" w:rsidRPr="00C3290F" w:rsidRDefault="00794AE7" w:rsidP="00794AE7">
      <w:pPr>
        <w:pStyle w:val="ListeParagraf"/>
        <w:numPr>
          <w:ilvl w:val="0"/>
          <w:numId w:val="38"/>
        </w:numPr>
        <w:spacing w:after="100" w:afterAutospacing="1"/>
        <w:jc w:val="both"/>
        <w:rPr>
          <w:i/>
        </w:rPr>
      </w:pPr>
      <w:r w:rsidRPr="00C3290F">
        <w:rPr>
          <w:i/>
        </w:rPr>
        <w:t>Başvuran</w:t>
      </w:r>
    </w:p>
    <w:p w:rsidR="00794AE7" w:rsidRDefault="00C3290F" w:rsidP="00794AE7">
      <w:pPr>
        <w:spacing w:after="100" w:afterAutospacing="1"/>
        <w:jc w:val="both"/>
      </w:pPr>
      <w:r>
        <w:t xml:space="preserve">Başvuran, davasının </w:t>
      </w:r>
      <w:r w:rsidR="00FD180C">
        <w:t xml:space="preserve">makul şüphelerden uzak bir biçimde kanıtlandığı, maruz kaldığı muamelenin tamamen haksız olduğu kanısındadır. </w:t>
      </w:r>
      <w:r w:rsidR="00A750AA">
        <w:t>Muamele</w:t>
      </w:r>
      <w:r w:rsidR="00F600D3">
        <w:t>nin</w:t>
      </w:r>
      <w:r w:rsidR="00A750AA">
        <w:t xml:space="preserve"> h</w:t>
      </w:r>
      <w:r w:rsidR="00AD6049">
        <w:t>em f</w:t>
      </w:r>
      <w:r w:rsidR="00D615C0">
        <w:t>iziksel ve ruhsal etkileri</w:t>
      </w:r>
      <w:r w:rsidR="00F600D3">
        <w:t>,</w:t>
      </w:r>
      <w:r w:rsidR="00D615C0">
        <w:t xml:space="preserve"> </w:t>
      </w:r>
      <w:r w:rsidR="00AD6049">
        <w:t>hem de</w:t>
      </w:r>
      <w:r w:rsidR="00F600D3">
        <w:t xml:space="preserve"> başvuranın</w:t>
      </w:r>
      <w:r w:rsidR="00AD6049">
        <w:t xml:space="preserve"> cinsiyeti ve yaşı </w:t>
      </w:r>
      <w:r w:rsidR="0076008E">
        <w:t>g</w:t>
      </w:r>
      <w:r w:rsidR="00D615C0">
        <w:t>öz önünde bulundurulduğunda,</w:t>
      </w:r>
      <w:r w:rsidR="0076008E">
        <w:t xml:space="preserve"> </w:t>
      </w:r>
      <w:r w:rsidR="00AD6049">
        <w:t>alçaltıcı ve onur kırıcı olduğu biçiminde değerlendirilebilir.</w:t>
      </w:r>
    </w:p>
    <w:p w:rsidR="00AD6049" w:rsidRDefault="00AD6049" w:rsidP="00794AE7">
      <w:pPr>
        <w:spacing w:after="100" w:afterAutospacing="1"/>
        <w:jc w:val="both"/>
      </w:pPr>
      <w:r>
        <w:t xml:space="preserve">Gösteri </w:t>
      </w:r>
      <w:r w:rsidR="004251DA">
        <w:t xml:space="preserve">barış yanlısı, göstericiler </w:t>
      </w:r>
      <w:r>
        <w:t xml:space="preserve">ise kadındı. </w:t>
      </w:r>
      <w:r w:rsidR="00B64D57">
        <w:t>Başvuran saldırıya uğram</w:t>
      </w:r>
      <w:r w:rsidR="004251DA">
        <w:t xml:space="preserve">ış, haksız yere vahşice dövülmüştür. </w:t>
      </w:r>
      <w:r w:rsidR="00B64D57">
        <w:t xml:space="preserve">Güç kullanımının gereksiz olması bir yana, </w:t>
      </w:r>
      <w:r w:rsidR="00294431">
        <w:t>yardım görmemiş ve tek başına bırakılmıştır. Lefkoşa Devlet Hastanesi’ne götürülmesi bir gazeteci ve diğer göstericilerin yardımıyla gerçekleşmiştir.</w:t>
      </w:r>
    </w:p>
    <w:p w:rsidR="00294431" w:rsidRPr="00294431" w:rsidRDefault="00784C87" w:rsidP="00294431">
      <w:pPr>
        <w:pStyle w:val="ListeParagraf"/>
        <w:numPr>
          <w:ilvl w:val="0"/>
          <w:numId w:val="38"/>
        </w:numPr>
        <w:spacing w:after="100" w:afterAutospacing="1"/>
        <w:jc w:val="both"/>
        <w:rPr>
          <w:i/>
        </w:rPr>
      </w:pPr>
      <w:r>
        <w:rPr>
          <w:i/>
        </w:rPr>
        <w:t>Müdahil ü</w:t>
      </w:r>
      <w:r w:rsidR="00294431" w:rsidRPr="00294431">
        <w:rPr>
          <w:i/>
        </w:rPr>
        <w:t>çüncü  taraf</w:t>
      </w:r>
    </w:p>
    <w:p w:rsidR="00294431" w:rsidRDefault="00294431" w:rsidP="006C2683">
      <w:pPr>
        <w:spacing w:after="100" w:afterAutospacing="1"/>
        <w:ind w:firstLine="708"/>
        <w:jc w:val="both"/>
      </w:pPr>
      <w:r>
        <w:t>Kıbrıs Hükümeti</w:t>
      </w:r>
      <w:r w:rsidR="00BC283B">
        <w:t xml:space="preserve">, </w:t>
      </w:r>
      <w:r w:rsidR="00A857D9">
        <w:t>K</w:t>
      </w:r>
      <w:r w:rsidR="00BC283B">
        <w:t>omisyon’</w:t>
      </w:r>
      <w:r w:rsidR="00A857D9">
        <w:t>un</w:t>
      </w:r>
      <w:r w:rsidR="00E31ADA">
        <w:t xml:space="preserve"> </w:t>
      </w:r>
      <w:r w:rsidR="00E31ADA" w:rsidRPr="00A464FD">
        <w:rPr>
          <w:i/>
        </w:rPr>
        <w:t xml:space="preserve">Chrysostomos </w:t>
      </w:r>
      <w:r w:rsidR="00E31ADA">
        <w:rPr>
          <w:i/>
        </w:rPr>
        <w:t>ve</w:t>
      </w:r>
      <w:r w:rsidR="00E31ADA" w:rsidRPr="00A464FD">
        <w:rPr>
          <w:i/>
        </w:rPr>
        <w:t xml:space="preserve"> Papachrysostomou </w:t>
      </w:r>
      <w:r w:rsidR="00F34E0C">
        <w:rPr>
          <w:i/>
        </w:rPr>
        <w:t>-</w:t>
      </w:r>
      <w:r w:rsidR="00E31ADA" w:rsidRPr="00A464FD">
        <w:rPr>
          <w:i/>
        </w:rPr>
        <w:t> T</w:t>
      </w:r>
      <w:r w:rsidR="00E31ADA">
        <w:rPr>
          <w:i/>
        </w:rPr>
        <w:t>ürkiye</w:t>
      </w:r>
      <w:r w:rsidR="00E31ADA">
        <w:t xml:space="preserve"> </w:t>
      </w:r>
      <w:r w:rsidR="00A857D9">
        <w:t>davasında</w:t>
      </w:r>
      <w:r w:rsidR="007874D8">
        <w:t xml:space="preserve">ki tespitlerinin </w:t>
      </w:r>
      <w:r w:rsidR="007874D8" w:rsidRPr="007874D8">
        <w:rPr>
          <w:i/>
        </w:rPr>
        <w:t>Loizidou</w:t>
      </w:r>
      <w:r w:rsidR="007874D8">
        <w:t xml:space="preserve"> kararı </w:t>
      </w:r>
      <w:r w:rsidR="00C50977">
        <w:t xml:space="preserve">ışığında </w:t>
      </w:r>
      <w:r w:rsidR="00B23D97">
        <w:t>geçerliliğini koruyama</w:t>
      </w:r>
      <w:r w:rsidR="00896331">
        <w:t>dığını iddia etmiştir</w:t>
      </w:r>
      <w:r w:rsidR="00B23D97">
        <w:t xml:space="preserve">. </w:t>
      </w:r>
      <w:r w:rsidR="00805729">
        <w:t xml:space="preserve">Türkiye, KKTC polisi tampon bölgeye </w:t>
      </w:r>
      <w:r w:rsidR="009D2860">
        <w:t>tecavüz ettiğinde</w:t>
      </w:r>
      <w:r w:rsidR="00F600D3">
        <w:t>,</w:t>
      </w:r>
      <w:r w:rsidR="00805729">
        <w:t xml:space="preserve"> KKTC</w:t>
      </w:r>
      <w:r w:rsidR="00CD7740">
        <w:t xml:space="preserve"> polisinin eylemlerind</w:t>
      </w:r>
      <w:r w:rsidR="00805729">
        <w:t>e</w:t>
      </w:r>
      <w:r w:rsidR="00CD7740">
        <w:t>n</w:t>
      </w:r>
      <w:r w:rsidR="00805729">
        <w:t xml:space="preserve"> sorumludur. </w:t>
      </w:r>
    </w:p>
    <w:p w:rsidR="00DF63BB" w:rsidRDefault="00DF63BB" w:rsidP="006C2683">
      <w:pPr>
        <w:spacing w:after="100" w:afterAutospacing="1"/>
        <w:ind w:firstLine="708"/>
        <w:jc w:val="both"/>
      </w:pPr>
      <w:r>
        <w:lastRenderedPageBreak/>
        <w:t>Türk polisinin başvurana süngüyle yaptığı saldırı gerekçesiz olarak yapılmıştır, “alçaltıcı muamele” kavramı içinde de</w:t>
      </w:r>
      <w:r w:rsidR="00560622">
        <w:t>ğ</w:t>
      </w:r>
      <w:r>
        <w:t xml:space="preserve">erlendirilebilecek vahamet düzeyine erişmiştir. Bu </w:t>
      </w:r>
      <w:r w:rsidR="00217F74">
        <w:t>mu</w:t>
      </w:r>
      <w:r>
        <w:t>amele</w:t>
      </w:r>
      <w:r w:rsidR="00217F74">
        <w:t>,</w:t>
      </w:r>
      <w:r>
        <w:t xml:space="preserve"> çektirilen acının yoğunluğu ile bir göstericiyi cezalandırma ve/veya diğer göstericileri</w:t>
      </w:r>
      <w:r w:rsidR="00217F74">
        <w:t>n gözünü korkutma amacı göz önünde bulundurulduğunda,</w:t>
      </w:r>
      <w:r w:rsidR="00217F74" w:rsidRPr="00217F74">
        <w:t xml:space="preserve"> </w:t>
      </w:r>
      <w:r w:rsidR="00217F74">
        <w:t>“işkence” olarak da nite</w:t>
      </w:r>
      <w:r w:rsidR="00560622">
        <w:t>l</w:t>
      </w:r>
      <w:r w:rsidR="00217F74">
        <w:t>end</w:t>
      </w:r>
      <w:r w:rsidR="00560622">
        <w:t>i</w:t>
      </w:r>
      <w:r w:rsidR="00217F74">
        <w:t>r</w:t>
      </w:r>
      <w:r w:rsidR="00560622">
        <w:t>i</w:t>
      </w:r>
      <w:r w:rsidR="00217F74">
        <w:t>lebilir.</w:t>
      </w:r>
      <w:r w:rsidR="0064521A">
        <w:t xml:space="preserve"> </w:t>
      </w:r>
    </w:p>
    <w:p w:rsidR="00AA11EC" w:rsidRPr="000D5076" w:rsidRDefault="00AA11EC" w:rsidP="00AA11EC">
      <w:pPr>
        <w:pStyle w:val="ListeParagraf"/>
        <w:numPr>
          <w:ilvl w:val="0"/>
          <w:numId w:val="37"/>
        </w:numPr>
        <w:spacing w:after="100" w:afterAutospacing="1"/>
        <w:jc w:val="both"/>
        <w:rPr>
          <w:b/>
        </w:rPr>
      </w:pPr>
      <w:r w:rsidRPr="000D5076">
        <w:rPr>
          <w:b/>
        </w:rPr>
        <w:t>AİHM’nin değerlendirmesi</w:t>
      </w:r>
    </w:p>
    <w:p w:rsidR="00AA11EC" w:rsidRDefault="000D5076" w:rsidP="00AA11EC">
      <w:pPr>
        <w:spacing w:after="100" w:afterAutospacing="1"/>
        <w:jc w:val="both"/>
      </w:pPr>
      <w:r>
        <w:t xml:space="preserve">İşkence ile insanlık dışı ve alçaltıcı muamelenin önlenmesine ilişkin genel ilkeler </w:t>
      </w:r>
      <w:r w:rsidRPr="000D5076">
        <w:rPr>
          <w:i/>
        </w:rPr>
        <w:t xml:space="preserve">Protopapa </w:t>
      </w:r>
      <w:r>
        <w:rPr>
          <w:i/>
        </w:rPr>
        <w:t>-</w:t>
      </w:r>
      <w:r w:rsidRPr="000D5076">
        <w:rPr>
          <w:i/>
        </w:rPr>
        <w:t xml:space="preserve"> Türkiye</w:t>
      </w:r>
      <w:r>
        <w:t xml:space="preserve"> kararında sunulmuştur. </w:t>
      </w:r>
    </w:p>
    <w:p w:rsidR="000D5076" w:rsidRDefault="000D5076" w:rsidP="00AA11EC">
      <w:pPr>
        <w:spacing w:after="100" w:afterAutospacing="1"/>
        <w:jc w:val="both"/>
      </w:pPr>
      <w:r>
        <w:t>Bu ilkelerin</w:t>
      </w:r>
      <w:r w:rsidR="00074BE5">
        <w:t xml:space="preserve"> mevcut davada</w:t>
      </w:r>
      <w:r>
        <w:t xml:space="preserve"> uygulanmasına ilişkin olarak, </w:t>
      </w:r>
      <w:r w:rsidR="00074BE5">
        <w:t xml:space="preserve">AİHM, başvuranın, aşırı gergin bir </w:t>
      </w:r>
      <w:r w:rsidR="005342D9">
        <w:t>orta</w:t>
      </w:r>
      <w:r w:rsidR="00074BE5">
        <w:t xml:space="preserve">ma sebebiyet veren bir gösteri sırasında Türk ya da Kıbrıs Türk güçleriyle fiziksel olarak yüz yüze geldiğinin tartışmasız olduğunu gözlemler. </w:t>
      </w:r>
      <w:r w:rsidR="00074BE5" w:rsidRPr="00A464FD">
        <w:rPr>
          <w:i/>
        </w:rPr>
        <w:t xml:space="preserve">Chrysostomos </w:t>
      </w:r>
      <w:r w:rsidR="00074BE5">
        <w:rPr>
          <w:i/>
        </w:rPr>
        <w:t>ve</w:t>
      </w:r>
      <w:r w:rsidR="00074BE5" w:rsidRPr="00A464FD">
        <w:rPr>
          <w:i/>
        </w:rPr>
        <w:t xml:space="preserve"> Papachrysostomou </w:t>
      </w:r>
      <w:r w:rsidR="00074BE5">
        <w:rPr>
          <w:i/>
        </w:rPr>
        <w:t>-</w:t>
      </w:r>
      <w:r w:rsidR="00074BE5" w:rsidRPr="00A464FD">
        <w:rPr>
          <w:i/>
        </w:rPr>
        <w:t> T</w:t>
      </w:r>
      <w:r w:rsidR="00074BE5">
        <w:rPr>
          <w:i/>
        </w:rPr>
        <w:t>ürkiye</w:t>
      </w:r>
      <w:r w:rsidR="00074BE5">
        <w:t xml:space="preserve"> davasında, Komisyon’un</w:t>
      </w:r>
      <w:r w:rsidR="004D07F8">
        <w:t>,</w:t>
      </w:r>
      <w:r w:rsidR="00074BE5">
        <w:t xml:space="preserve"> göstericilerden bazılarının </w:t>
      </w:r>
      <w:r w:rsidR="00291ABF">
        <w:t xml:space="preserve">tutuklanmaya </w:t>
      </w:r>
      <w:r w:rsidR="00074BE5">
        <w:t xml:space="preserve">karşı koyduklarını, polis güçlerinin bu direnişi kırdığını ve o ortamda göstericilere sert davranılması ve hatta </w:t>
      </w:r>
      <w:r w:rsidR="00BF4262">
        <w:t>tutuklama</w:t>
      </w:r>
      <w:r w:rsidR="00074BE5">
        <w:t xml:space="preserve"> esnasında</w:t>
      </w:r>
      <w:r w:rsidR="00F600D3">
        <w:t xml:space="preserve"> göstericilerin</w:t>
      </w:r>
      <w:r w:rsidR="00074BE5">
        <w:t xml:space="preserve"> yaralanmaları yönündeki riskin yüksek olduğunu tespit ettiği anımsanacaktır. </w:t>
      </w:r>
      <w:r w:rsidR="00486ACF">
        <w:t>AİHM bu</w:t>
      </w:r>
      <w:r w:rsidR="00822AC8">
        <w:t xml:space="preserve"> tespitlerinin dışına çıkmasını gerektirecek özel nedenler göreme</w:t>
      </w:r>
      <w:r w:rsidR="004D07F8">
        <w:t>mektedir. Şikayet konusu eylem</w:t>
      </w:r>
      <w:r w:rsidR="00822AC8">
        <w:t xml:space="preserve"> meydana geldiği</w:t>
      </w:r>
      <w:r w:rsidR="005C709A">
        <w:t xml:space="preserve"> sırada zirveye çıkan gerginliğ</w:t>
      </w:r>
      <w:r w:rsidR="008C3B31">
        <w:t>i</w:t>
      </w:r>
      <w:r w:rsidR="00572437">
        <w:t xml:space="preserve"> olması</w:t>
      </w:r>
      <w:r w:rsidR="008C3B31">
        <w:t xml:space="preserve"> gerektiği gibi gö</w:t>
      </w:r>
      <w:r w:rsidR="00822AC8">
        <w:t>z</w:t>
      </w:r>
      <w:r w:rsidR="00572437">
        <w:t xml:space="preserve"> </w:t>
      </w:r>
      <w:r w:rsidR="00822AC8">
        <w:t xml:space="preserve">önünde bulunduracaktır. </w:t>
      </w:r>
    </w:p>
    <w:p w:rsidR="00572437" w:rsidRDefault="00572437" w:rsidP="00AA11EC">
      <w:pPr>
        <w:spacing w:after="100" w:afterAutospacing="1"/>
        <w:jc w:val="both"/>
      </w:pPr>
      <w:r>
        <w:t xml:space="preserve">Ayrıca, </w:t>
      </w:r>
      <w:r w:rsidR="00FA281C">
        <w:t>başvuranın</w:t>
      </w:r>
      <w:r w:rsidR="006F436D">
        <w:t>,</w:t>
      </w:r>
      <w:r w:rsidR="00F4111C">
        <w:t xml:space="preserve"> kendisine vurulduğunu ve itildiğini</w:t>
      </w:r>
      <w:r w:rsidR="00FA281C">
        <w:t xml:space="preserve"> belirttiğini gözlemler. </w:t>
      </w:r>
      <w:r w:rsidR="00265E3F">
        <w:t>Bununla birlikte</w:t>
      </w:r>
      <w:r w:rsidR="00F4111C">
        <w:t xml:space="preserve"> başvuran, Türk askerinin, süngüyle bacağına vurduğunu, üst kaval kemiğinde derin bir yara oluşmasına sebebiyet verdiğini iddia etmiştir. </w:t>
      </w:r>
      <w:r w:rsidR="00A775CA">
        <w:t xml:space="preserve">Başvuranın anlattığı biçimiyle olaylar, bir görgü tanığının yeminli </w:t>
      </w:r>
      <w:r w:rsidR="003B73D0">
        <w:t>ifadesi</w:t>
      </w:r>
      <w:r w:rsidR="00D8080D">
        <w:t xml:space="preserve"> ve Dr. Stelios Georgiou’nun </w:t>
      </w:r>
      <w:r w:rsidR="00265E3F">
        <w:t>imzaladığı</w:t>
      </w:r>
      <w:r w:rsidR="00D8080D">
        <w:t xml:space="preserve"> raporla</w:t>
      </w:r>
      <w:r w:rsidR="003B73D0">
        <w:t xml:space="preserve"> desteklenmektedir. </w:t>
      </w:r>
      <w:r w:rsidR="00645C2C">
        <w:t xml:space="preserve">19 </w:t>
      </w:r>
      <w:r w:rsidR="006F436D">
        <w:t>T</w:t>
      </w:r>
      <w:r w:rsidR="00645C2C">
        <w:t xml:space="preserve">emmuz 1989 tarihindeki olayların üzerinden 10 yıldan fazla süre geçtikten sonra, </w:t>
      </w:r>
      <w:r w:rsidR="00C94D4E">
        <w:t xml:space="preserve">2000 yılının Mart ayında </w:t>
      </w:r>
      <w:r w:rsidR="00005B82">
        <w:t xml:space="preserve">düzenlenmiş </w:t>
      </w:r>
      <w:r w:rsidR="00C94D4E">
        <w:t xml:space="preserve">olmasına karşılık, </w:t>
      </w:r>
      <w:r w:rsidR="00645C2C">
        <w:t xml:space="preserve">bu rapor, gösteriden sonra başvuranın Lefkoşa Devlet Hastanesi’nde yapılan tedavisinin geçmişini </w:t>
      </w:r>
      <w:r w:rsidR="00102D68">
        <w:t xml:space="preserve">günümüze yansıtmaktadır. </w:t>
      </w:r>
      <w:r w:rsidR="00054BB8">
        <w:t>Raporda, başvuranın kaval kemiğini</w:t>
      </w:r>
      <w:r w:rsidR="006F436D">
        <w:t>n</w:t>
      </w:r>
      <w:r w:rsidR="00054BB8">
        <w:t xml:space="preserve"> üst kısmında 9 cm uzunluğunda bir açık yarası olduğu ve bu yaraya keskin bir </w:t>
      </w:r>
      <w:r w:rsidR="00190E8C">
        <w:t>cism</w:t>
      </w:r>
      <w:r w:rsidR="00054BB8">
        <w:t xml:space="preserve">in yol açtığı ifade edilmektedir. Yaraya dikiş atılmış, başvuran 1 ay koltuk değneği kullanmak durumunda kalmıştır. </w:t>
      </w:r>
      <w:r w:rsidR="00D537E1">
        <w:t>2000 yılında bile hastanın hala yara izi bulunmaktadır ve yaranın etrafındaki bölgede his kaybı mevcuttur.</w:t>
      </w:r>
    </w:p>
    <w:p w:rsidR="00D537E1" w:rsidRDefault="00D537E1" w:rsidP="00AA11EC">
      <w:pPr>
        <w:spacing w:after="100" w:afterAutospacing="1"/>
        <w:jc w:val="both"/>
      </w:pPr>
      <w:r>
        <w:t>AİHM</w:t>
      </w:r>
      <w:r w:rsidR="002F5D0D">
        <w:t>, başvuranın yarasına Türk ya da Kıbrıs Türk polisinin neden olduğunun tespit edildiği</w:t>
      </w:r>
      <w:r>
        <w:t xml:space="preserve"> kanısına varır. </w:t>
      </w:r>
      <w:r w:rsidR="0052638E">
        <w:t xml:space="preserve">Ayrıca başvuranın yarası gibi ciddi bir travmatik vaka, başvuranla polisler arasındaki önemsiz fiziksel yüzleşmenin sonucu olamaz. </w:t>
      </w:r>
      <w:r w:rsidR="00BF4262">
        <w:t>Tutuklan</w:t>
      </w:r>
      <w:r w:rsidR="0052638E">
        <w:t>mayan başvuranın polise</w:t>
      </w:r>
      <w:r w:rsidR="0065383F">
        <w:t>, görevini ifa sırasında, keskin bir cisimle yaraya sebebiyet verilmesini gerektirecek ölçüde</w:t>
      </w:r>
      <w:r w:rsidR="0052638E">
        <w:t xml:space="preserve"> direniş gösterdiğine işaret eden bir tespit bulunmamaktadır. </w:t>
      </w:r>
      <w:r w:rsidR="00802C20">
        <w:t>Buna göre Savunmacı Devlet’in görevlileri başvurana karşı</w:t>
      </w:r>
      <w:r w:rsidR="000E17CD">
        <w:t xml:space="preserve">, 19 Temmuz 1989 tarihli gösteri atmosferindeki yüksek gerilimin ve/veya başvuranın davranışlarının gerektirmediği ölçüde </w:t>
      </w:r>
      <w:r w:rsidR="00802C20">
        <w:t xml:space="preserve">fazla güç kullanmışlardır. </w:t>
      </w:r>
    </w:p>
    <w:p w:rsidR="000E17CD" w:rsidRDefault="000E17CD" w:rsidP="00AA11EC">
      <w:pPr>
        <w:spacing w:after="100" w:afterAutospacing="1"/>
        <w:jc w:val="both"/>
      </w:pPr>
      <w:r>
        <w:t xml:space="preserve">AİHM, muamelenin fiziksel ve ruhsal etkileri ile başvuranın cinsiyeti göz önünde bulundurulduğunda, </w:t>
      </w:r>
      <w:r w:rsidR="00F600D3">
        <w:t xml:space="preserve">Türk polisinin başvuranı maruz bıraktığı muamelenin </w:t>
      </w:r>
      <w:r>
        <w:t xml:space="preserve">AİHS’nin 3. maddesi kapsamında “insanlık dışı” ve “alçaltıcı” muameleye tekabül ettiği kanısındadır. </w:t>
      </w:r>
    </w:p>
    <w:p w:rsidR="009874A5" w:rsidRDefault="009874A5" w:rsidP="00AA11EC">
      <w:pPr>
        <w:spacing w:after="100" w:afterAutospacing="1"/>
        <w:jc w:val="both"/>
      </w:pPr>
      <w:r>
        <w:t>Buna göre bu madde ihlal edilmiştir.</w:t>
      </w:r>
    </w:p>
    <w:p w:rsidR="009874A5" w:rsidRPr="006F436D" w:rsidRDefault="009874A5" w:rsidP="009874A5">
      <w:pPr>
        <w:spacing w:after="100" w:afterAutospacing="1"/>
        <w:ind w:firstLine="0"/>
        <w:jc w:val="both"/>
        <w:rPr>
          <w:b/>
        </w:rPr>
      </w:pPr>
      <w:r w:rsidRPr="006F436D">
        <w:rPr>
          <w:b/>
        </w:rPr>
        <w:t>V. AİHS’NİN İHLAL EDİLDİĞİ İDDİA EDİLEN 11. MADDESİ</w:t>
      </w:r>
    </w:p>
    <w:p w:rsidR="009874A5" w:rsidRDefault="00C17FF9" w:rsidP="00566071">
      <w:pPr>
        <w:spacing w:after="100" w:afterAutospacing="1"/>
        <w:ind w:firstLine="708"/>
        <w:jc w:val="both"/>
      </w:pPr>
      <w:r>
        <w:t xml:space="preserve">Başvuran barışçı toplantı </w:t>
      </w:r>
      <w:r w:rsidR="00566071">
        <w:t xml:space="preserve">özgürlüğü hakkının ihlal edildiğinden şikayetçi olmuştur. </w:t>
      </w:r>
    </w:p>
    <w:p w:rsidR="00566071" w:rsidRDefault="00566071" w:rsidP="00566071">
      <w:pPr>
        <w:spacing w:after="100" w:afterAutospacing="1"/>
        <w:ind w:firstLine="708"/>
        <w:jc w:val="both"/>
      </w:pPr>
      <w:r>
        <w:lastRenderedPageBreak/>
        <w:t xml:space="preserve">AİHS’nin 11. maddesine atıfta bulunmuştur. </w:t>
      </w:r>
    </w:p>
    <w:p w:rsidR="00566071" w:rsidRPr="00566071" w:rsidRDefault="00566071" w:rsidP="00566071">
      <w:pPr>
        <w:pStyle w:val="ListeParagraf"/>
        <w:numPr>
          <w:ilvl w:val="0"/>
          <w:numId w:val="39"/>
        </w:numPr>
        <w:spacing w:after="100" w:afterAutospacing="1"/>
        <w:jc w:val="both"/>
        <w:rPr>
          <w:b/>
        </w:rPr>
      </w:pPr>
      <w:r w:rsidRPr="00566071">
        <w:rPr>
          <w:b/>
        </w:rPr>
        <w:t>Tarafların argümanları</w:t>
      </w:r>
    </w:p>
    <w:p w:rsidR="00566071" w:rsidRDefault="00566071" w:rsidP="00566071">
      <w:pPr>
        <w:pStyle w:val="ListeParagraf"/>
        <w:spacing w:after="100" w:afterAutospacing="1"/>
        <w:ind w:left="1068" w:firstLine="0"/>
        <w:jc w:val="both"/>
      </w:pPr>
    </w:p>
    <w:p w:rsidR="00566071" w:rsidRPr="00566071" w:rsidRDefault="00566071" w:rsidP="00566071">
      <w:pPr>
        <w:pStyle w:val="ListeParagraf"/>
        <w:numPr>
          <w:ilvl w:val="0"/>
          <w:numId w:val="40"/>
        </w:numPr>
        <w:spacing w:after="100" w:afterAutospacing="1"/>
        <w:jc w:val="both"/>
        <w:rPr>
          <w:i/>
        </w:rPr>
      </w:pPr>
      <w:r w:rsidRPr="00566071">
        <w:rPr>
          <w:i/>
        </w:rPr>
        <w:t>Hükümet</w:t>
      </w:r>
    </w:p>
    <w:p w:rsidR="00566071" w:rsidRDefault="00566071" w:rsidP="00566071">
      <w:pPr>
        <w:spacing w:after="100" w:afterAutospacing="1"/>
        <w:jc w:val="both"/>
      </w:pPr>
      <w:r>
        <w:t>Hükümet bu iddiaya karşı çıkmış</w:t>
      </w:r>
      <w:r w:rsidR="006F436D">
        <w:t>tır. Ş</w:t>
      </w:r>
      <w:r>
        <w:t xml:space="preserve">iddet içeren özelliği göz önünde bulundurulduğunda, </w:t>
      </w:r>
      <w:r w:rsidR="00817014">
        <w:t xml:space="preserve">gösterinin </w:t>
      </w:r>
      <w:r w:rsidR="00F52904">
        <w:t xml:space="preserve">AİHS’nin 11. maddesi kapsamının dışında </w:t>
      </w:r>
      <w:r w:rsidR="00566882">
        <w:t>ve yasadışı bir toplantı</w:t>
      </w:r>
      <w:r w:rsidR="00566882" w:rsidRPr="00566882">
        <w:t xml:space="preserve"> </w:t>
      </w:r>
      <w:r w:rsidR="00566882">
        <w:t xml:space="preserve">olduğunun açık olduğunu gözlemler. </w:t>
      </w:r>
      <w:r w:rsidR="00BF4262">
        <w:t>Tutuklan</w:t>
      </w:r>
      <w:r w:rsidR="00566882">
        <w:t xml:space="preserve">an bazı göstericilerin üzerinden bıçak ve diğer kesici aletler çıkmıştır. Hükümet bu noktada </w:t>
      </w:r>
      <w:r w:rsidR="009E326D">
        <w:t xml:space="preserve">KKTC’de uygulanan </w:t>
      </w:r>
      <w:r w:rsidR="00566882">
        <w:t>Kıbrıs Ceza Kanunu’nun 70, 71, 80 ve 82. maddelerine işaret ed</w:t>
      </w:r>
      <w:r w:rsidR="009E326D">
        <w:t xml:space="preserve">ip, </w:t>
      </w:r>
      <w:r w:rsidR="00642ED9">
        <w:t xml:space="preserve">Kıbrıs Ceza Muhakemeleri Usulü Kanunu’nun 155. Bölümü’ne göre polis memurunun şiddet içerikli gösterilere karışan kimseleri tutuklama yetkisi olduğunu </w:t>
      </w:r>
      <w:r w:rsidR="009E326D">
        <w:t>anımsar.</w:t>
      </w:r>
      <w:r w:rsidR="00C41BE4">
        <w:t xml:space="preserve"> Ayrıca KKTC yasalarına göre Devlet’in sınırlarını ihlal etmek suçtur. </w:t>
      </w:r>
    </w:p>
    <w:p w:rsidR="00C41BE4" w:rsidRDefault="00690F19" w:rsidP="00566071">
      <w:pPr>
        <w:spacing w:after="100" w:afterAutospacing="1"/>
        <w:jc w:val="both"/>
      </w:pPr>
      <w:r>
        <w:t>Yukarıdakiler ışığ</w:t>
      </w:r>
      <w:r w:rsidR="00C41BE4">
        <w:t xml:space="preserve">ında, </w:t>
      </w:r>
      <w:r w:rsidR="00CB4C5E">
        <w:t>Hükümet, KKTC</w:t>
      </w:r>
      <w:r w:rsidR="00CC060C">
        <w:t xml:space="preserve"> polisinin karmaşa ve suçu önlemek amacıyla ulusal güvenlik ve/veya kamu güvenliği yararına müdahale ettiği</w:t>
      </w:r>
      <w:r w:rsidR="00CB4C5E">
        <w:t xml:space="preserve"> kanısına varmıştır. </w:t>
      </w:r>
      <w:r w:rsidR="00650577">
        <w:t>Başvuran da dahil olmak üzere gö</w:t>
      </w:r>
      <w:r w:rsidR="00CC060C">
        <w:t xml:space="preserve">stericilerin BM tampon bölgesini ihlal etmelerinin haklı bir gerekçesi bulunmamaktadır. </w:t>
      </w:r>
    </w:p>
    <w:p w:rsidR="00650577" w:rsidRPr="00650577" w:rsidRDefault="00650577" w:rsidP="00566071">
      <w:pPr>
        <w:spacing w:after="100" w:afterAutospacing="1"/>
        <w:jc w:val="both"/>
        <w:rPr>
          <w:i/>
        </w:rPr>
      </w:pPr>
      <w:r w:rsidRPr="00650577">
        <w:rPr>
          <w:i/>
        </w:rPr>
        <w:t>2. Başvuran</w:t>
      </w:r>
    </w:p>
    <w:p w:rsidR="00650577" w:rsidRDefault="00650577" w:rsidP="00566071">
      <w:pPr>
        <w:spacing w:after="100" w:afterAutospacing="1"/>
        <w:jc w:val="both"/>
      </w:pPr>
      <w:r>
        <w:t xml:space="preserve">Başvuran, Kıbrıs Türk polisinin şiddet kullanarak barışçı toplantı özgürlüğünü ortadan kaldırdığını iddia etmiştir. </w:t>
      </w:r>
      <w:r w:rsidR="007226BE">
        <w:t>Bu müdahale Kıbrıs Cumhuriyeti yasalarınca öngörülmemiştir ve bir oturma eylemi Türkiye’nin ulusal güvenliğine tehdit teşkil edemez. Her durumda, polisin vahşi müdahalesi tamamen orantısızdır.</w:t>
      </w:r>
    </w:p>
    <w:p w:rsidR="007226BE" w:rsidRPr="00001D82" w:rsidRDefault="00F77FDB" w:rsidP="00F77FDB">
      <w:pPr>
        <w:spacing w:after="100" w:afterAutospacing="1"/>
        <w:ind w:left="709" w:firstLine="0"/>
        <w:jc w:val="both"/>
        <w:rPr>
          <w:i/>
        </w:rPr>
      </w:pPr>
      <w:r w:rsidRPr="00001D82">
        <w:rPr>
          <w:i/>
        </w:rPr>
        <w:t xml:space="preserve">3. </w:t>
      </w:r>
      <w:r w:rsidR="00784C87">
        <w:rPr>
          <w:i/>
        </w:rPr>
        <w:t>Müdahil ü</w:t>
      </w:r>
      <w:r w:rsidR="007226BE" w:rsidRPr="00001D82">
        <w:rPr>
          <w:i/>
        </w:rPr>
        <w:t>çüncü taraf</w:t>
      </w:r>
    </w:p>
    <w:p w:rsidR="007226BE" w:rsidRDefault="007226BE" w:rsidP="00D97D4E">
      <w:pPr>
        <w:spacing w:after="100" w:afterAutospacing="1"/>
        <w:jc w:val="both"/>
      </w:pPr>
      <w:r>
        <w:t xml:space="preserve">Kıbrıs Hükümeti, </w:t>
      </w:r>
      <w:r w:rsidR="00D97D4E">
        <w:t xml:space="preserve">Türk polisinin tampon bölgede yapılan barışçıl toplantıya müdahalesinin </w:t>
      </w:r>
      <w:r w:rsidR="00BE2FC3">
        <w:t xml:space="preserve">yasalarca öngörülmediğini, gereksiz olduğunu ve başvuranın tutumu ya da kamu düzeniyle ilgili olarak ortaya çıktığı iddia edilebilecek her türlü meseleyle ilişkili olarak tamamen orantısız olduğunu </w:t>
      </w:r>
      <w:r w:rsidR="00F77FDB">
        <w:t xml:space="preserve">gözlemlemiştir. </w:t>
      </w:r>
      <w:r w:rsidR="00BE2FC3">
        <w:t xml:space="preserve">Gösterinin yapıldığı bölgede uygulanan Kıbrıs Cumhuriyeti yasaları böyle bir müdahaleye izin vermemektedir. </w:t>
      </w:r>
      <w:r w:rsidR="00B7025B">
        <w:t xml:space="preserve">Savunmacı Hükümet, </w:t>
      </w:r>
      <w:r w:rsidR="009359D1">
        <w:t xml:space="preserve">işgal altındaki bölgenin hukuk sistemini değiştiremez. Ayrıca </w:t>
      </w:r>
      <w:r w:rsidR="005A1E76">
        <w:t>D</w:t>
      </w:r>
      <w:r w:rsidR="009359D1">
        <w:t xml:space="preserve">evletinin görevlilerinin davranışlarına hukuki dayanak sağlayabilecek hiçbir Türk yasasına atıfta da bulunmamıştır. </w:t>
      </w:r>
    </w:p>
    <w:p w:rsidR="00C2591B" w:rsidRDefault="00C2591B" w:rsidP="00D97D4E">
      <w:pPr>
        <w:spacing w:after="100" w:afterAutospacing="1"/>
        <w:jc w:val="both"/>
      </w:pPr>
      <w:r>
        <w:t xml:space="preserve">Sonuç olarak Kıbrıs Hükümeti, BM tampon bölgesinin Türk gücünün yasal yetki sınırları dahilinde olmadığını gözlemlemiştir. </w:t>
      </w:r>
      <w:r w:rsidR="009E19CC">
        <w:t>Bu bölgeye tecavüz etmesi at</w:t>
      </w:r>
      <w:r w:rsidR="009D2860">
        <w:t>e</w:t>
      </w:r>
      <w:r w:rsidR="009E19CC">
        <w:t xml:space="preserve">şkes anlaşmalarına aykırıdır. </w:t>
      </w:r>
    </w:p>
    <w:p w:rsidR="002C07F3" w:rsidRPr="00EF5CBA" w:rsidRDefault="00366EB0" w:rsidP="002C07F3">
      <w:pPr>
        <w:pStyle w:val="ListeParagraf"/>
        <w:numPr>
          <w:ilvl w:val="0"/>
          <w:numId w:val="39"/>
        </w:numPr>
        <w:spacing w:after="100" w:afterAutospacing="1"/>
        <w:jc w:val="both"/>
        <w:rPr>
          <w:b/>
        </w:rPr>
      </w:pPr>
      <w:r w:rsidRPr="00EF5CBA">
        <w:rPr>
          <w:b/>
        </w:rPr>
        <w:t>AİHM’nin değerlendirmesi</w:t>
      </w:r>
    </w:p>
    <w:p w:rsidR="002C07F3" w:rsidRDefault="002C07F3" w:rsidP="002C07F3">
      <w:pPr>
        <w:spacing w:after="100" w:afterAutospacing="1"/>
        <w:jc w:val="both"/>
      </w:pPr>
      <w:r>
        <w:t>AİHM,</w:t>
      </w:r>
      <w:r w:rsidR="0051258F">
        <w:t xml:space="preserve"> başvuran ve diğer kadınların</w:t>
      </w:r>
      <w:r w:rsidR="00E61F2A">
        <w:t xml:space="preserve"> gösteri </w:t>
      </w:r>
      <w:r w:rsidR="00814ECD">
        <w:t>sırasında ve</w:t>
      </w:r>
      <w:r w:rsidR="00E61F2A">
        <w:t xml:space="preserve"> Lefkoşa’daki Ayios Kassianos Okulu çevresinde</w:t>
      </w:r>
      <w:r w:rsidR="0051258F">
        <w:t xml:space="preserve"> Kıbrıs Türk polisiyle çatıştığını</w:t>
      </w:r>
      <w:r>
        <w:t xml:space="preserve"> kaydeder. </w:t>
      </w:r>
      <w:r w:rsidR="00E61F2A">
        <w:t xml:space="preserve">Gösteri </w:t>
      </w:r>
      <w:r w:rsidR="00900D80">
        <w:t xml:space="preserve">dağıtılmış, göstericilerden bazıları tutuklanmıştır. </w:t>
      </w:r>
      <w:r w:rsidR="00A15F91">
        <w:t xml:space="preserve">Bu koşullarda, </w:t>
      </w:r>
      <w:r w:rsidR="00C54271">
        <w:t>AİHM</w:t>
      </w:r>
      <w:r w:rsidR="00523527">
        <w:t xml:space="preserve">, </w:t>
      </w:r>
      <w:r w:rsidR="005F6F2C">
        <w:t>başvuranın toplantı hakkına müdahale edildiği</w:t>
      </w:r>
      <w:r w:rsidR="00C54271">
        <w:t xml:space="preserve"> kanısına varır. </w:t>
      </w:r>
    </w:p>
    <w:p w:rsidR="005F6F2C" w:rsidRDefault="005312C2" w:rsidP="00730B49">
      <w:pPr>
        <w:spacing w:after="100" w:afterAutospacing="1"/>
        <w:jc w:val="both"/>
      </w:pPr>
      <w:r>
        <w:t xml:space="preserve">Bu müdahalenin, Kıbrıs </w:t>
      </w:r>
      <w:r w:rsidR="007B65B3">
        <w:t>Ceza K</w:t>
      </w:r>
      <w:r>
        <w:t>anunu</w:t>
      </w:r>
      <w:r w:rsidR="007B65B3">
        <w:t>’</w:t>
      </w:r>
      <w:r>
        <w:t xml:space="preserve">nun 70 ve 71. maddeleri </w:t>
      </w:r>
      <w:r w:rsidR="00F60766">
        <w:t xml:space="preserve">ile Ceza Muhakemeleri Usulü Kanunu’nun 14. maddesi </w:t>
      </w:r>
      <w:r>
        <w:t>olmak üzere hukuki dayanağı vardır</w:t>
      </w:r>
      <w:r w:rsidR="00CD2F87">
        <w:t xml:space="preserve">, bu </w:t>
      </w:r>
      <w:r w:rsidR="00C33C95">
        <w:lastRenderedPageBreak/>
        <w:t>n</w:t>
      </w:r>
      <w:r w:rsidR="00CD2F87">
        <w:t>e</w:t>
      </w:r>
      <w:r w:rsidR="00C33C95">
        <w:t xml:space="preserve">denle </w:t>
      </w:r>
      <w:r w:rsidR="009107AC">
        <w:t>AİHS’nin 11/2. maddesi çerçevesinde “yasalarla öngörülmüştür”</w:t>
      </w:r>
      <w:r>
        <w:t>.</w:t>
      </w:r>
      <w:r w:rsidR="004640CB">
        <w:t xml:space="preserve"> </w:t>
      </w:r>
      <w:r w:rsidR="00EB38E6">
        <w:t xml:space="preserve">Bu bakımdan, </w:t>
      </w:r>
      <w:r w:rsidR="00AE29B4">
        <w:t xml:space="preserve">AİHM, </w:t>
      </w:r>
      <w:r w:rsidR="00AE29B4" w:rsidRPr="00AE29B4">
        <w:rPr>
          <w:i/>
        </w:rPr>
        <w:t xml:space="preserve">Foka </w:t>
      </w:r>
      <w:r w:rsidR="00AE29B4">
        <w:rPr>
          <w:i/>
        </w:rPr>
        <w:t>-</w:t>
      </w:r>
      <w:r w:rsidR="00AE29B4" w:rsidRPr="00AE29B4">
        <w:rPr>
          <w:i/>
        </w:rPr>
        <w:t xml:space="preserve"> Türkiye</w:t>
      </w:r>
      <w:r w:rsidR="00AE29B4">
        <w:t xml:space="preserve"> davasında</w:t>
      </w:r>
      <w:r w:rsidR="00524F4E">
        <w:t xml:space="preserve"> (28940/95)</w:t>
      </w:r>
      <w:r w:rsidR="00AE29B4">
        <w:t xml:space="preserve">, </w:t>
      </w:r>
      <w:r w:rsidR="00524F4E">
        <w:t xml:space="preserve">KKTC’nin Kuzey Kıbrıs üzerinde </w:t>
      </w:r>
      <w:r w:rsidR="00813DF6">
        <w:rPr>
          <w:i/>
        </w:rPr>
        <w:t xml:space="preserve">fiilen </w:t>
      </w:r>
      <w:r w:rsidR="00524F4E">
        <w:t xml:space="preserve"> yetkisini uyguladığına ve </w:t>
      </w:r>
      <w:r w:rsidR="00401D80">
        <w:t xml:space="preserve">Türkiye’nin KKTC’nin eylemlerinden sorumlu olmasının başvuranın, uygulanan tedbirlerin AİHS çerçevesinde her zaman “yasal” dayanaktan yoksun olduğu biçiminde değerlendirilmesi gerektiği görüşüyle çelişkili olduğuna </w:t>
      </w:r>
      <w:r w:rsidR="00524F4E">
        <w:t xml:space="preserve">karar verdiğini </w:t>
      </w:r>
      <w:r w:rsidR="00AE29B4">
        <w:t xml:space="preserve">anımsar. </w:t>
      </w:r>
      <w:r w:rsidR="00401D80">
        <w:t xml:space="preserve">Bu nedenle AİHM, </w:t>
      </w:r>
      <w:r w:rsidR="00C17E29" w:rsidRPr="00C17E29">
        <w:rPr>
          <w:i/>
        </w:rPr>
        <w:t>Foka</w:t>
      </w:r>
      <w:r w:rsidR="00C17E29">
        <w:t xml:space="preserve"> davasında olduğu gibi, KKTC </w:t>
      </w:r>
      <w:r w:rsidR="004123CA">
        <w:t>makamlarını</w:t>
      </w:r>
      <w:r w:rsidR="00C17E29">
        <w:t>n eylemlerinin Kuzey Kıbrıs toprakları içerisinde yürürlükte olan yas</w:t>
      </w:r>
      <w:r w:rsidR="003062D3">
        <w:t>a</w:t>
      </w:r>
      <w:r w:rsidR="00C17E29">
        <w:t>larla uyumlu olduğunda, AİHS’ni</w:t>
      </w:r>
      <w:r w:rsidR="003062D3">
        <w:t>n</w:t>
      </w:r>
      <w:r w:rsidR="00C17E29">
        <w:t xml:space="preserve"> amaçları doğrultusunda ilke olarak iç hukukta hukuki dayanağı olduğu biçiminde değerlendirilmesi gerektiği </w:t>
      </w:r>
      <w:r w:rsidR="00E17F35">
        <w:t xml:space="preserve">sonucuna varmıştır. </w:t>
      </w:r>
      <w:r w:rsidR="00730B49">
        <w:t>Mevcu</w:t>
      </w:r>
      <w:r w:rsidR="00265A9B">
        <w:t>t davada</w:t>
      </w:r>
      <w:r w:rsidR="00730B49">
        <w:t>, KKTC</w:t>
      </w:r>
      <w:r w:rsidR="00813DF6">
        <w:t>’nin kuruluşuna ilişkin uluslar</w:t>
      </w:r>
      <w:r w:rsidR="00730B49">
        <w:t>arası topluluğun benimsediği görüşle ya da Kıbrıs Cumhuriyeti Hükümeti’nin Kıbrıs’ın tek geçerli hükümeti olmasıyla</w:t>
      </w:r>
      <w:r w:rsidR="007D09D6">
        <w:t xml:space="preserve"> (bkz. </w:t>
      </w:r>
      <w:r w:rsidR="007D09D6" w:rsidRPr="007D09D6">
        <w:rPr>
          <w:i/>
        </w:rPr>
        <w:t>Kıbrıs - Türkiye</w:t>
      </w:r>
      <w:r w:rsidR="007D09D6">
        <w:t>)</w:t>
      </w:r>
      <w:r w:rsidR="00730B49">
        <w:t xml:space="preserve"> hiçbir şekilde uyumsuz olmayan</w:t>
      </w:r>
      <w:r w:rsidR="00265A9B">
        <w:t xml:space="preserve"> bu tespitlerinin dışına çıkılmasını gerektirecek özel bir neden görememektedir. </w:t>
      </w:r>
    </w:p>
    <w:p w:rsidR="007D09D6" w:rsidRDefault="007D09D6" w:rsidP="00730B49">
      <w:pPr>
        <w:spacing w:after="100" w:afterAutospacing="1"/>
        <w:jc w:val="both"/>
      </w:pPr>
      <w:r>
        <w:t xml:space="preserve">Geriye, müdahalenin meşru bir amaç güdüp gütmediği ya da demokratik bir toplumda gerekli olup olmadığına ilişkin sorular kalmaktadır.  </w:t>
      </w:r>
    </w:p>
    <w:p w:rsidR="00D83A06" w:rsidRDefault="00D83A06" w:rsidP="00730B49">
      <w:pPr>
        <w:spacing w:after="100" w:afterAutospacing="1"/>
        <w:jc w:val="both"/>
      </w:pPr>
      <w:r>
        <w:t xml:space="preserve">Hükümet </w:t>
      </w:r>
      <w:r w:rsidR="0035643D">
        <w:t xml:space="preserve">müdahalenin ulusal güvenliğin ve/veya kamu güvenliğinin korunması ile karmaşa ve suçun önlenmesi yönünde meşru amaçlar güttüğünü belirtmiştir. </w:t>
      </w:r>
    </w:p>
    <w:p w:rsidR="00D67AAB" w:rsidRDefault="0035643D" w:rsidP="00D67AAB">
      <w:pPr>
        <w:jc w:val="both"/>
        <w:rPr>
          <w:rStyle w:val="st1"/>
        </w:rPr>
      </w:pPr>
      <w:r>
        <w:t>A</w:t>
      </w:r>
      <w:r w:rsidR="002517C6">
        <w:t>İ</w:t>
      </w:r>
      <w:r>
        <w:t>HM</w:t>
      </w:r>
      <w:r w:rsidR="00DA0207">
        <w:t>,</w:t>
      </w:r>
      <w:r w:rsidR="00263217">
        <w:t xml:space="preserve"> </w:t>
      </w:r>
      <w:r w:rsidR="00263217" w:rsidRPr="00A464FD">
        <w:rPr>
          <w:i/>
        </w:rPr>
        <w:t xml:space="preserve">Chrysostomos </w:t>
      </w:r>
      <w:r w:rsidR="00263217">
        <w:rPr>
          <w:i/>
        </w:rPr>
        <w:t>ve</w:t>
      </w:r>
      <w:r w:rsidR="00263217" w:rsidRPr="00A464FD">
        <w:rPr>
          <w:i/>
        </w:rPr>
        <w:t xml:space="preserve"> Papachrysostomou </w:t>
      </w:r>
      <w:r w:rsidR="00263217">
        <w:rPr>
          <w:i/>
        </w:rPr>
        <w:t>–</w:t>
      </w:r>
      <w:r w:rsidR="00263217" w:rsidRPr="00A464FD">
        <w:rPr>
          <w:i/>
        </w:rPr>
        <w:t> T</w:t>
      </w:r>
      <w:r w:rsidR="00263217">
        <w:rPr>
          <w:i/>
        </w:rPr>
        <w:t>ürkiye</w:t>
      </w:r>
      <w:r w:rsidR="00263217">
        <w:t xml:space="preserve"> davasında Komisyon’un, </w:t>
      </w:r>
      <w:r w:rsidR="001002B2">
        <w:t>19 Temmuz 1989 tarihli gösterinin şiddet içerdiğini, BM savunma hattını kırdığını, Kıbrıs sınır hattındaki</w:t>
      </w:r>
      <w:r w:rsidR="00263217">
        <w:t xml:space="preserve"> </w:t>
      </w:r>
      <w:r w:rsidR="001002B2">
        <w:t xml:space="preserve">barış ve kamu düzenine ciddi bir tehdit teşkil ettiğini </w:t>
      </w:r>
      <w:r w:rsidR="00263217">
        <w:t>tespit ettiğini</w:t>
      </w:r>
      <w:r>
        <w:t xml:space="preserve"> kaydeder</w:t>
      </w:r>
      <w:r w:rsidR="001002B2">
        <w:t xml:space="preserve"> (bkz. Komisyon raporu)</w:t>
      </w:r>
      <w:r>
        <w:t xml:space="preserve">. </w:t>
      </w:r>
      <w:r w:rsidR="001002B2">
        <w:t xml:space="preserve">AİHM, </w:t>
      </w:r>
      <w:r w:rsidR="00BB32FD">
        <w:t xml:space="preserve">Savunmacı Hükümet’in Komisyon’a sunduğu BM Genel Sekreterliği’nin raporuna, bir video filmine ve fotoğraflara dayanan </w:t>
      </w:r>
      <w:r w:rsidR="001002B2">
        <w:t>bu tespitlerin dışına çık</w:t>
      </w:r>
      <w:r w:rsidR="00BB32FD">
        <w:t>ılmasını g</w:t>
      </w:r>
      <w:r w:rsidR="001002B2">
        <w:t xml:space="preserve">erektirecek bir neden görmemektedir. </w:t>
      </w:r>
      <w:r w:rsidR="00D67AAB">
        <w:rPr>
          <w:rStyle w:val="st1"/>
        </w:rPr>
        <w:t>Raporunda BM Genel Sekreteri’nin, göstericilerin “Lefkoşa’nın Ayios K</w:t>
      </w:r>
      <w:r w:rsidR="00D67AAB" w:rsidRPr="008231D0">
        <w:rPr>
          <w:rStyle w:val="st1"/>
        </w:rPr>
        <w:t>assianos</w:t>
      </w:r>
      <w:r w:rsidR="00D67AAB">
        <w:rPr>
          <w:rStyle w:val="st1"/>
        </w:rPr>
        <w:t xml:space="preserve"> bölgesindeki BM tampon bölgesine zorla girdiklerini”, “BM Barış Gücü askerlerinin oluşturduğu hattı kırmadan ve eski bir okul sahasına girmeden” önce “BM Barış Gücü gözetimindeki tel bariyeri geçtiklerini ve bir BM Barış Gücü gözetleme noktasını tahrip ettiklerini” kaydettiğini vurgulamaktadır.</w:t>
      </w:r>
    </w:p>
    <w:p w:rsidR="00D67AAB" w:rsidRDefault="00D67AAB" w:rsidP="00D67AAB">
      <w:pPr>
        <w:jc w:val="both"/>
        <w:rPr>
          <w:rStyle w:val="st1"/>
        </w:rPr>
      </w:pPr>
    </w:p>
    <w:p w:rsidR="00D67AAB" w:rsidRDefault="00D67AAB" w:rsidP="00D67AAB">
      <w:pPr>
        <w:jc w:val="both"/>
        <w:rPr>
          <w:rStyle w:val="st1"/>
        </w:rPr>
      </w:pPr>
      <w:r>
        <w:rPr>
          <w:rStyle w:val="st1"/>
        </w:rPr>
        <w:t xml:space="preserve">AİHM öncelikle 11. madde hususundaki kararlarının vurgulandığı temel ilkelere atıfta bulunmaktadır. Bu içtihada göre, yetkili makamlar göstericilerin barışçı tutumlarını ve vatandaşların güvenliğini sağlamak için gösterilere ilişkin uygun tedbirleri almakla yükümlüdürler (bkz. </w:t>
      </w:r>
      <w:r w:rsidRPr="00916CAF">
        <w:rPr>
          <w:rStyle w:val="st1"/>
          <w:i/>
        </w:rPr>
        <w:t>Oya Ataman/Türkiye</w:t>
      </w:r>
      <w:r>
        <w:rPr>
          <w:rStyle w:val="st1"/>
        </w:rPr>
        <w:t>, no. 74552/01, 35. madde, 5 Aralık 2006). Ancak, bunu mutlak surette garanti edememektedirler ve başvuracakları yöntemi seçerken geniş bir takdir yetkisine sahiptirler.</w:t>
      </w:r>
    </w:p>
    <w:p w:rsidR="00D67AAB" w:rsidRDefault="00D67AAB" w:rsidP="00D67AAB">
      <w:pPr>
        <w:jc w:val="both"/>
        <w:rPr>
          <w:rStyle w:val="st1"/>
        </w:rPr>
      </w:pPr>
    </w:p>
    <w:p w:rsidR="00D67AAB" w:rsidRDefault="00D67AAB" w:rsidP="00D67AAB">
      <w:pPr>
        <w:jc w:val="both"/>
        <w:rPr>
          <w:rStyle w:val="st1"/>
        </w:rPr>
      </w:pPr>
      <w:r>
        <w:rPr>
          <w:rStyle w:val="st1"/>
        </w:rPr>
        <w:t>Kanuna aykırı bir durum başlıbaşına toplanma özgürlüğüne müdahale edilmesini haklı göstermez; bununla birlikte, AİHS’nin 11. maddesi bağlamında güvence altına alınan hakka müdahale edilmesi, mevcut davada olduğu gibi göstericilerin şiddet eylemlerine dahil oldukları hallerde, karmaşanın ve suçun önlenmesi ve diğerlerinin haklarının ve özgürlüklerinin korunması açısından ilke olarak haklı görülebilmektedir.</w:t>
      </w:r>
    </w:p>
    <w:p w:rsidR="00D67AAB" w:rsidRDefault="00D67AAB" w:rsidP="00D67AAB">
      <w:pPr>
        <w:jc w:val="both"/>
        <w:rPr>
          <w:rStyle w:val="st1"/>
        </w:rPr>
      </w:pPr>
    </w:p>
    <w:p w:rsidR="00D67AAB" w:rsidRDefault="00D67AAB" w:rsidP="00D67AAB">
      <w:pPr>
        <w:jc w:val="both"/>
        <w:rPr>
          <w:rStyle w:val="st1"/>
        </w:rPr>
      </w:pPr>
      <w:r>
        <w:rPr>
          <w:rStyle w:val="st1"/>
        </w:rPr>
        <w:t>AİHM ayrıca BM Genel Sekreteri’nin 7 Aralık 1989 tarihli raporunda belirtmiş olduğu gibi, göstericilerin BM tampon bölgesine girdiklerini gözlemlemektedir. “BM Barış Gücü” makamlarına göre, ayrıca “</w:t>
      </w:r>
      <w:r w:rsidR="00813DF6">
        <w:rPr>
          <w:rStyle w:val="st1"/>
        </w:rPr>
        <w:t>KKTC</w:t>
      </w:r>
      <w:r>
        <w:rPr>
          <w:rStyle w:val="st1"/>
        </w:rPr>
        <w:t>” topraklarına da girmiş ve sonuç olarak, “</w:t>
      </w:r>
      <w:r w:rsidR="00813DF6">
        <w:rPr>
          <w:rStyle w:val="st1"/>
        </w:rPr>
        <w:t>KKTC</w:t>
      </w:r>
      <w:r>
        <w:rPr>
          <w:rStyle w:val="st1"/>
        </w:rPr>
        <w:t>” kanunlarına göre ceza gerektiren suçlar işlemişlerdir. AİHM bu hususta Sorumlu Hükümet’in göstericilerin bazılarının girdiği alanların “</w:t>
      </w:r>
      <w:r w:rsidR="00813DF6">
        <w:rPr>
          <w:rStyle w:val="st1"/>
        </w:rPr>
        <w:t>KKTC</w:t>
      </w:r>
      <w:r>
        <w:rPr>
          <w:rStyle w:val="st1"/>
        </w:rPr>
        <w:t xml:space="preserve">” toprağı olduğu yönündeki beyanına gölge düşüren delillerin bulunmadığını kaydetmektedir. AİHM, Türk ve/veya Kıbrıs-Türk güçleri </w:t>
      </w:r>
      <w:r>
        <w:rPr>
          <w:rStyle w:val="st1"/>
        </w:rPr>
        <w:lastRenderedPageBreak/>
        <w:t>müdahalesinin, gösterinin politik değil şiddet içeren niteliğinden ve göstericilerin bazılarının “</w:t>
      </w:r>
      <w:r w:rsidR="00813DF6">
        <w:rPr>
          <w:rStyle w:val="st1"/>
        </w:rPr>
        <w:t>KKTC</w:t>
      </w:r>
      <w:r>
        <w:rPr>
          <w:rStyle w:val="st1"/>
        </w:rPr>
        <w:t>” sınırlarını ihlal etmelerinden kaynaklandığı kanaatindedir.</w:t>
      </w:r>
    </w:p>
    <w:p w:rsidR="009F36F9" w:rsidRDefault="009F36F9" w:rsidP="00D67AAB">
      <w:pPr>
        <w:jc w:val="both"/>
        <w:rPr>
          <w:rStyle w:val="st1"/>
        </w:rPr>
      </w:pPr>
    </w:p>
    <w:p w:rsidR="00D67AAB" w:rsidRDefault="00D67AAB" w:rsidP="00D67AAB">
      <w:pPr>
        <w:jc w:val="both"/>
        <w:rPr>
          <w:rStyle w:val="st1"/>
        </w:rPr>
      </w:pPr>
      <w:r>
        <w:rPr>
          <w:rStyle w:val="st1"/>
        </w:rPr>
        <w:t xml:space="preserve">Bu koşullar altında, sözkonusu alanda </w:t>
      </w:r>
      <w:r w:rsidR="00813DF6">
        <w:rPr>
          <w:rStyle w:val="st1"/>
        </w:rPr>
        <w:t>Devletlere</w:t>
      </w:r>
      <w:r>
        <w:rPr>
          <w:rStyle w:val="st1"/>
        </w:rPr>
        <w:t xml:space="preserve"> tanınan geniş takdir yetkisini göz önüne alan AİHM, başvuranın toplanma özgürlüğüne edilen müdahalenin</w:t>
      </w:r>
      <w:r w:rsidR="00813DF6">
        <w:rPr>
          <w:rStyle w:val="st1"/>
        </w:rPr>
        <w:t>, dava koşulları ışığında, 11/2</w:t>
      </w:r>
      <w:r>
        <w:rPr>
          <w:rStyle w:val="st1"/>
        </w:rPr>
        <w:t xml:space="preserve"> madde uyarınca orantısız olmadığı sonucuna varmaktadır.</w:t>
      </w:r>
    </w:p>
    <w:p w:rsidR="00D67AAB" w:rsidRDefault="00D67AAB" w:rsidP="00D67AAB">
      <w:pPr>
        <w:jc w:val="both"/>
        <w:rPr>
          <w:rStyle w:val="st1"/>
        </w:rPr>
      </w:pPr>
    </w:p>
    <w:p w:rsidR="00D67AAB" w:rsidRPr="00581EE9" w:rsidRDefault="00D67AAB" w:rsidP="00D67AAB">
      <w:pPr>
        <w:jc w:val="both"/>
        <w:rPr>
          <w:b/>
        </w:rPr>
      </w:pPr>
      <w:r w:rsidRPr="00581EE9">
        <w:rPr>
          <w:b/>
        </w:rPr>
        <w:t>VI. AİHS’NİN 41. MADDESİNİN UYGULANMASI</w:t>
      </w:r>
    </w:p>
    <w:p w:rsidR="00D67AAB" w:rsidRDefault="00D67AAB" w:rsidP="00D67AAB">
      <w:pPr>
        <w:jc w:val="both"/>
      </w:pPr>
    </w:p>
    <w:p w:rsidR="00D67AAB" w:rsidRDefault="00D67AAB" w:rsidP="00D67AAB">
      <w:pPr>
        <w:ind w:firstLine="720"/>
        <w:jc w:val="both"/>
      </w:pPr>
      <w:r>
        <w:t>AİHS’nin 41. maddesi aşağıda kaydedilmiştir:</w:t>
      </w:r>
    </w:p>
    <w:p w:rsidR="00D67AAB" w:rsidRDefault="00D67AAB" w:rsidP="00D67AAB">
      <w:pPr>
        <w:pStyle w:val="NormalWeb"/>
        <w:ind w:left="708"/>
        <w:jc w:val="both"/>
        <w:rPr>
          <w:sz w:val="20"/>
          <w:szCs w:val="20"/>
        </w:rPr>
      </w:pPr>
      <w:r>
        <w:rPr>
          <w:sz w:val="20"/>
          <w:szCs w:val="20"/>
        </w:rPr>
        <w:t>“</w:t>
      </w:r>
      <w:r w:rsidRPr="001C434D">
        <w:rPr>
          <w:sz w:val="20"/>
          <w:szCs w:val="20"/>
        </w:rPr>
        <w:t xml:space="preserve">Mahkeme işbu Sözleşme ve </w:t>
      </w:r>
      <w:r w:rsidR="00813DF6" w:rsidRPr="001C434D">
        <w:rPr>
          <w:sz w:val="20"/>
          <w:szCs w:val="20"/>
        </w:rPr>
        <w:t>protokollerinin</w:t>
      </w:r>
      <w:r w:rsidRPr="001C434D">
        <w:rPr>
          <w:sz w:val="20"/>
          <w:szCs w:val="20"/>
        </w:rPr>
        <w:t xml:space="preserve"> ihlal edildiğine karar verirse ve ilgili Yüksek Sözleşmeci Tarafın iç hukuku bu ihlali ancak kısmen telafi edebiliyorsa, Mahkeme, gerektiği takdirde, hakkaniyete uygun bir surette, zarar gören tarafın tatmi</w:t>
      </w:r>
      <w:r>
        <w:rPr>
          <w:sz w:val="20"/>
          <w:szCs w:val="20"/>
        </w:rPr>
        <w:t>nine hükmeder.”</w:t>
      </w:r>
    </w:p>
    <w:p w:rsidR="009F36F9" w:rsidRDefault="009F36F9" w:rsidP="00D67AAB">
      <w:pPr>
        <w:pStyle w:val="NormalWeb"/>
        <w:rPr>
          <w:b/>
        </w:rPr>
      </w:pPr>
    </w:p>
    <w:p w:rsidR="00D67AAB" w:rsidRDefault="00D67AAB" w:rsidP="00D67AAB">
      <w:pPr>
        <w:pStyle w:val="NormalWeb"/>
        <w:rPr>
          <w:b/>
        </w:rPr>
      </w:pPr>
      <w:r>
        <w:rPr>
          <w:b/>
        </w:rPr>
        <w:t>A. Maddi ve manevi zarar</w:t>
      </w:r>
    </w:p>
    <w:p w:rsidR="009F36F9" w:rsidRDefault="009F36F9" w:rsidP="00D67AAB">
      <w:pPr>
        <w:pStyle w:val="NormalWeb"/>
        <w:rPr>
          <w:b/>
          <w:i/>
        </w:rPr>
      </w:pPr>
    </w:p>
    <w:p w:rsidR="00D67AAB" w:rsidRDefault="00D67AAB" w:rsidP="00D67AAB">
      <w:pPr>
        <w:pStyle w:val="NormalWeb"/>
        <w:rPr>
          <w:b/>
          <w:i/>
        </w:rPr>
      </w:pPr>
      <w:r>
        <w:rPr>
          <w:b/>
          <w:i/>
        </w:rPr>
        <w:t>1. Tarafların görüşleri</w:t>
      </w:r>
    </w:p>
    <w:p w:rsidR="009F36F9" w:rsidRDefault="009F36F9" w:rsidP="00D67AAB">
      <w:pPr>
        <w:pStyle w:val="NormalWeb"/>
        <w:rPr>
          <w:b/>
        </w:rPr>
      </w:pPr>
    </w:p>
    <w:p w:rsidR="00D67AAB" w:rsidRPr="00784C87" w:rsidRDefault="00D67AAB" w:rsidP="00784C87">
      <w:pPr>
        <w:pStyle w:val="NormalWeb"/>
        <w:numPr>
          <w:ilvl w:val="0"/>
          <w:numId w:val="45"/>
        </w:numPr>
        <w:rPr>
          <w:i/>
        </w:rPr>
      </w:pPr>
      <w:r w:rsidRPr="00784C87">
        <w:rPr>
          <w:i/>
        </w:rPr>
        <w:t>Başvuran</w:t>
      </w:r>
    </w:p>
    <w:p w:rsidR="00784C87" w:rsidRPr="00784C87" w:rsidRDefault="00784C87" w:rsidP="00784C87">
      <w:pPr>
        <w:pStyle w:val="NormalWeb"/>
        <w:ind w:left="720"/>
      </w:pPr>
    </w:p>
    <w:p w:rsidR="00D67AAB" w:rsidRDefault="00D67AAB" w:rsidP="00D67AAB">
      <w:pPr>
        <w:pStyle w:val="NormalWeb"/>
        <w:ind w:firstLine="709"/>
        <w:jc w:val="both"/>
      </w:pPr>
      <w:r>
        <w:t xml:space="preserve">Başvuran, Nisan 2000 tarihli adil tazmin taleplerinde, maddi tazminat olarak 289,746 Kıbrıs Poundu (CYP – yaklaşık 495,060 Euro) talep etmiştir. Mülkünü kiraya vererek elde ettiği ya da elde etmeyi beklediği yıllık kira kaybını kapsayan kayıplarının ve </w:t>
      </w:r>
      <w:r w:rsidRPr="00382637">
        <w:rPr>
          <w:color w:val="000000" w:themeColor="text1"/>
        </w:rPr>
        <w:t>kira vadesinin dolduğu tarihten ödeme gününe kadar geçen süreye karşılık faiz bedelinin değerlendirildiği bilirkişi raporunu dayanak olarak göstermiştir. Talep edilen kira bedeli, Sorumlu Hükümet’in kişisel başvuru hakkını kabul ettiği Ocak 1987’den 2000 yılına kadar geçen süre</w:t>
      </w:r>
      <w:r>
        <w:t xml:space="preserve"> içindir. Başvuran, halen mülkünün yasal sahibi olması nedeniyle herhangi bir kamulaştırma iddiasıyla tazminat talep etmemiştir. Değerlendirme raporu başvuranın mülkünün bulunduğu Girne, Kazafani ve Karmi’nin tasvirlerini içermektedir.</w:t>
      </w:r>
    </w:p>
    <w:p w:rsidR="009F36F9" w:rsidRDefault="009F36F9" w:rsidP="00D67AAB">
      <w:pPr>
        <w:pStyle w:val="NormalWeb"/>
        <w:ind w:firstLine="709"/>
        <w:jc w:val="both"/>
      </w:pPr>
    </w:p>
    <w:p w:rsidR="00D67AAB" w:rsidRDefault="00D67AAB" w:rsidP="00D67AAB">
      <w:pPr>
        <w:pStyle w:val="NormalWeb"/>
        <w:ind w:firstLine="709"/>
        <w:jc w:val="both"/>
      </w:pPr>
      <w:r>
        <w:t>Değerlendirme raporunun başlangıç noktası başvuranın 1974 senesindeki mülkünün, piyasa değerinin yüzdesi (%6 ila %4 arasında değişen) temel alınarak hesaplanan kira değeriydi. Bu meblağ, ortalama %12’lik yıllık kira artışına göre (bu artış, paragraf 10(a)’daki ev için %5’tir), artırılabilmekteydi. Geciken ödemeler için yıllık %8 oranında bileşik faiz uygulanmıştır.</w:t>
      </w:r>
    </w:p>
    <w:p w:rsidR="009F36F9" w:rsidRDefault="009F36F9" w:rsidP="00D67AAB">
      <w:pPr>
        <w:pStyle w:val="NormalWeb"/>
        <w:ind w:firstLine="709"/>
        <w:jc w:val="both"/>
      </w:pPr>
    </w:p>
    <w:p w:rsidR="00D67AAB" w:rsidRDefault="00D67AAB" w:rsidP="00D67AAB">
      <w:pPr>
        <w:pStyle w:val="NormalWeb"/>
        <w:ind w:firstLine="709"/>
        <w:jc w:val="both"/>
      </w:pPr>
      <w:r>
        <w:t>Bilirkişiye göre, başvuranın mülkünün 1974 yılı değerleri aşağıda kaydedilmiştir:</w:t>
      </w:r>
    </w:p>
    <w:p w:rsidR="00D67AAB" w:rsidRDefault="00D67AAB" w:rsidP="00D67AAB">
      <w:pPr>
        <w:pStyle w:val="NormalWeb"/>
        <w:numPr>
          <w:ilvl w:val="0"/>
          <w:numId w:val="43"/>
        </w:numPr>
        <w:spacing w:before="100" w:beforeAutospacing="1" w:after="100" w:afterAutospacing="1"/>
        <w:jc w:val="both"/>
      </w:pPr>
      <w:r>
        <w:t>Paragraf 10(a)’da tari</w:t>
      </w:r>
      <w:r w:rsidR="00813DF6">
        <w:t>f edilen mülk: piyasa değeri 26.</w:t>
      </w:r>
      <w:r>
        <w:t>500 CYP</w:t>
      </w:r>
      <w:r w:rsidR="00813DF6">
        <w:t xml:space="preserve"> (yaklaşık 45.277 Euro); kira değeri 1.325 CYP (yaklaşık 2.</w:t>
      </w:r>
      <w:r>
        <w:t>263 Euro);</w:t>
      </w:r>
    </w:p>
    <w:p w:rsidR="00D67AAB" w:rsidRDefault="00D67AAB" w:rsidP="00D67AAB">
      <w:pPr>
        <w:pStyle w:val="NormalWeb"/>
        <w:numPr>
          <w:ilvl w:val="0"/>
          <w:numId w:val="43"/>
        </w:numPr>
        <w:spacing w:before="100" w:beforeAutospacing="1" w:after="100" w:afterAutospacing="1"/>
        <w:jc w:val="both"/>
      </w:pPr>
      <w:r>
        <w:t>Paragraf 10(b)’de tar</w:t>
      </w:r>
      <w:r w:rsidR="00813DF6">
        <w:t>if edilen mülk: piyasa değeri 9.404 CYP (yaklaşık 16.</w:t>
      </w:r>
      <w:r>
        <w:t>067 Euro); kira değeri 564 CYP (yaklaşık 963 Euro);</w:t>
      </w:r>
    </w:p>
    <w:p w:rsidR="00D67AAB" w:rsidRDefault="00D67AAB" w:rsidP="00D67AAB">
      <w:pPr>
        <w:pStyle w:val="NormalWeb"/>
        <w:numPr>
          <w:ilvl w:val="0"/>
          <w:numId w:val="43"/>
        </w:numPr>
        <w:spacing w:before="100" w:beforeAutospacing="1" w:after="100" w:afterAutospacing="1"/>
        <w:jc w:val="both"/>
      </w:pPr>
      <w:r>
        <w:t>Paragraf 10(c)’de tar</w:t>
      </w:r>
      <w:r w:rsidR="00813DF6">
        <w:t>if edilen mülk: piyasa değeri 3.</w:t>
      </w:r>
      <w:r>
        <w:t>138 CYP</w:t>
      </w:r>
      <w:r w:rsidR="00813DF6">
        <w:t xml:space="preserve"> (yaklaşık 5.</w:t>
      </w:r>
      <w:r>
        <w:t>361 Euro); kira değeri 188 CYP (yaklaşık 321 Euro);</w:t>
      </w:r>
    </w:p>
    <w:p w:rsidR="00D67AAB" w:rsidRDefault="00D67AAB" w:rsidP="00D67AAB">
      <w:pPr>
        <w:pStyle w:val="NormalWeb"/>
        <w:numPr>
          <w:ilvl w:val="0"/>
          <w:numId w:val="43"/>
        </w:numPr>
        <w:spacing w:before="100" w:beforeAutospacing="1" w:after="100" w:afterAutospacing="1"/>
        <w:jc w:val="both"/>
      </w:pPr>
      <w:r>
        <w:t>Paragraf 10(d)’de tar</w:t>
      </w:r>
      <w:r w:rsidR="00813DF6">
        <w:t>if edilen mülk: piyasa değeri 1.650 CYP (yaklaşık 2.</w:t>
      </w:r>
      <w:r>
        <w:t>819 Euro); kira değeri 99 CYP (yaklaşık 169 Euro);</w:t>
      </w:r>
    </w:p>
    <w:p w:rsidR="00D67AAB" w:rsidRDefault="00D67AAB" w:rsidP="00D67AAB">
      <w:pPr>
        <w:pStyle w:val="NormalWeb"/>
        <w:numPr>
          <w:ilvl w:val="0"/>
          <w:numId w:val="43"/>
        </w:numPr>
        <w:spacing w:before="100" w:beforeAutospacing="1" w:after="100" w:afterAutospacing="1"/>
        <w:jc w:val="both"/>
      </w:pPr>
      <w:r>
        <w:t>Paragraf 10(e)’da tar</w:t>
      </w:r>
      <w:r w:rsidR="00813DF6">
        <w:t>if edilen mülk: piyasa değeri 2.</w:t>
      </w:r>
      <w:r>
        <w:t>264 CYP (yakla</w:t>
      </w:r>
      <w:r w:rsidR="00813DF6">
        <w:t>şık 3.</w:t>
      </w:r>
      <w:r>
        <w:t>868 Euro); kira değeri 136 CYP (yaklaşık 232 Euro);</w:t>
      </w:r>
    </w:p>
    <w:p w:rsidR="00D67AAB" w:rsidRDefault="00D67AAB" w:rsidP="00D67AAB">
      <w:pPr>
        <w:pStyle w:val="NormalWeb"/>
        <w:ind w:firstLine="709"/>
        <w:jc w:val="both"/>
      </w:pPr>
      <w:r>
        <w:lastRenderedPageBreak/>
        <w:t>Başvuran 28 Ocak 2008 tarihli bir yazıda adil tazmin taleplerini sunmasından bu yana uzun süre geçtiğini ve maddi tazminat talebinin, Kıbrıs’taki arsanın piyasa değerindeki artışa göre yeniden düzenlenmesi gerektiğini gözlemlemiştir (yıllık %10 ila %15 arasında).</w:t>
      </w:r>
    </w:p>
    <w:p w:rsidR="009F36F9" w:rsidRDefault="009F36F9" w:rsidP="00D67AAB">
      <w:pPr>
        <w:pStyle w:val="NormalWeb"/>
        <w:ind w:firstLine="709"/>
        <w:jc w:val="both"/>
      </w:pPr>
    </w:p>
    <w:p w:rsidR="00D67AAB" w:rsidRDefault="00D67AAB" w:rsidP="00D67AAB">
      <w:pPr>
        <w:pStyle w:val="NormalWeb"/>
        <w:ind w:firstLine="709"/>
        <w:jc w:val="both"/>
      </w:pPr>
      <w:r>
        <w:t>Nisan 2000 tarihli adil tazmin talebinde başvuran ayrıca manevi tazminat</w:t>
      </w:r>
      <w:r w:rsidR="00813DF6">
        <w:t xml:space="preserve"> olarak 40.000 CYP (yaklaşık 68.</w:t>
      </w:r>
      <w:r>
        <w:t>344 Euro) talep etmiştir. Bu meblağın</w:t>
      </w:r>
      <w:r w:rsidR="00813DF6">
        <w:t>,</w:t>
      </w:r>
      <w:r>
        <w:t xml:space="preserve"> AİHM tarafından </w:t>
      </w:r>
      <w:r w:rsidRPr="001275A2">
        <w:rPr>
          <w:i/>
        </w:rPr>
        <w:t xml:space="preserve">Loizidou </w:t>
      </w:r>
      <w:r>
        <w:t xml:space="preserve">davasında ödenmesine karar verilen meblağ temel alınarak hesaplandığını ((adil tazmin), 28 Temmuz 1998, </w:t>
      </w:r>
      <w:r w:rsidRPr="00F9681F">
        <w:rPr>
          <w:i/>
        </w:rPr>
        <w:t>Raporlar</w:t>
      </w:r>
      <w:r>
        <w:t xml:space="preserve"> 1998-IV);</w:t>
      </w:r>
      <w:r w:rsidRPr="00DE0177">
        <w:t xml:space="preserve"> </w:t>
      </w:r>
      <w:r w:rsidR="00813DF6">
        <w:t>oysaki</w:t>
      </w:r>
      <w:r>
        <w:t xml:space="preserve"> mevcut davada karşılığında tazminat talep edilen sürenin daha uzun olduğunun ve AİHS’nin 14. maddesinin ihlal edildiğinin göz önüne alınması gerektiğini belirtmiştir. Evini kaybetmesi sonuc</w:t>
      </w:r>
      <w:r w:rsidR="00813DF6">
        <w:t>u uğradığı manevi zarar için 20.000 CYP (yaklaşık 34.</w:t>
      </w:r>
      <w:r>
        <w:t>172 Euro) ve AİHS’nin 3., 10. ve 11.</w:t>
      </w:r>
      <w:r w:rsidR="00813DF6">
        <w:t xml:space="preserve"> maddelerinin ihlalleri için 40.000 CYP (yaklaşık 68.</w:t>
      </w:r>
      <w:r>
        <w:t>344 Euro) talep etmiştir.</w:t>
      </w:r>
    </w:p>
    <w:p w:rsidR="009F36F9" w:rsidRDefault="009F36F9" w:rsidP="00D67AAB">
      <w:pPr>
        <w:pStyle w:val="NormalWeb"/>
        <w:ind w:firstLine="709"/>
        <w:jc w:val="both"/>
      </w:pPr>
    </w:p>
    <w:p w:rsidR="00D67AAB" w:rsidRDefault="00D67AAB" w:rsidP="00D67AAB">
      <w:pPr>
        <w:pStyle w:val="NormalWeb"/>
        <w:ind w:firstLine="709"/>
        <w:jc w:val="both"/>
      </w:pPr>
      <w:r>
        <w:t>Dolayısıyla manevi zarar için</w:t>
      </w:r>
      <w:r w:rsidR="00813DF6">
        <w:t xml:space="preserve"> talep edilen toplam meblağ 100.000 CYP’dir (yaklaşık 170.</w:t>
      </w:r>
      <w:r>
        <w:t>860 Euro).</w:t>
      </w:r>
    </w:p>
    <w:p w:rsidR="009F36F9" w:rsidRDefault="009F36F9" w:rsidP="00D67AAB">
      <w:pPr>
        <w:pStyle w:val="NormalWeb"/>
        <w:jc w:val="both"/>
        <w:rPr>
          <w:b/>
        </w:rPr>
      </w:pPr>
    </w:p>
    <w:p w:rsidR="00D67AAB" w:rsidRPr="00784C87" w:rsidRDefault="00D67AAB" w:rsidP="00784C87">
      <w:pPr>
        <w:pStyle w:val="NormalWeb"/>
        <w:ind w:firstLine="708"/>
        <w:jc w:val="both"/>
        <w:rPr>
          <w:i/>
        </w:rPr>
      </w:pPr>
      <w:r w:rsidRPr="00784C87">
        <w:rPr>
          <w:i/>
        </w:rPr>
        <w:t>(b) Hükümet</w:t>
      </w:r>
    </w:p>
    <w:p w:rsidR="009F36F9" w:rsidRDefault="009F36F9" w:rsidP="00D67AAB">
      <w:pPr>
        <w:pStyle w:val="NormalWeb"/>
        <w:ind w:firstLine="709"/>
        <w:jc w:val="both"/>
      </w:pPr>
    </w:p>
    <w:p w:rsidR="00D67AAB" w:rsidRDefault="00D67AAB" w:rsidP="00D67AAB">
      <w:pPr>
        <w:pStyle w:val="NormalWeb"/>
        <w:ind w:firstLine="709"/>
        <w:jc w:val="both"/>
      </w:pPr>
      <w:r>
        <w:t>Hükümet</w:t>
      </w:r>
      <w:r w:rsidR="00813DF6">
        <w:t>,</w:t>
      </w:r>
      <w:r>
        <w:t xml:space="preserve"> AİHM’nin 15 Eylül 2008 tarihli talebi üzerine</w:t>
      </w:r>
      <w:r w:rsidR="00813DF6">
        <w:t>,</w:t>
      </w:r>
      <w:r>
        <w:t xml:space="preserve"> başvuranın adil tazmin taleplerine ilişkin görüşlerini sunmuştur. Başvuranın mülkünün “arsalar” olduğunu ve Kıbrıs’taki arsalardan çok az kira alınabildiğini gözlemlemiştir. Her halükarda</w:t>
      </w:r>
      <w:r w:rsidR="00813DF6">
        <w:t>,</w:t>
      </w:r>
      <w:r>
        <w:t xml:space="preserve"> mülkün iddia edilen 1974 yılı değeri fahiş, aşırı derecede yüksek ve spekülatiftir; kıyaslama yapmak için kullanılabilecek gerçek verilere dayanmamaktadır ve emlak piyasasındaki dalgalanmalar </w:t>
      </w:r>
      <w:r w:rsidR="00813DF6">
        <w:t>ile</w:t>
      </w:r>
      <w:r>
        <w:t xml:space="preserve"> ülke içi ve uluslararası etkilere açıklığı hesaba katılmamıştır. Başvuranın sunduğu rapor</w:t>
      </w:r>
      <w:r w:rsidR="00813DF6">
        <w:t>, emlak piyasasının,</w:t>
      </w:r>
      <w:r>
        <w:t xml:space="preserve"> göz önüne alınan süre boyunca</w:t>
      </w:r>
      <w:r w:rsidR="00813DF6">
        <w:t>,</w:t>
      </w:r>
      <w:r>
        <w:t xml:space="preserve"> devam eden bir artışa geçeceği kabul edilerek hazırlanmıştır.</w:t>
      </w:r>
    </w:p>
    <w:p w:rsidR="009F36F9" w:rsidRDefault="009F36F9" w:rsidP="00D67AAB">
      <w:pPr>
        <w:pStyle w:val="NormalWeb"/>
        <w:ind w:firstLine="709"/>
        <w:jc w:val="both"/>
        <w:rPr>
          <w:color w:val="000000" w:themeColor="text1"/>
        </w:rPr>
      </w:pPr>
    </w:p>
    <w:p w:rsidR="00D67AAB" w:rsidRDefault="00D67AAB" w:rsidP="00D67AAB">
      <w:pPr>
        <w:pStyle w:val="NormalWeb"/>
        <w:ind w:firstLine="709"/>
        <w:jc w:val="both"/>
      </w:pPr>
      <w:r w:rsidRPr="00E45632">
        <w:rPr>
          <w:color w:val="000000" w:themeColor="text1"/>
        </w:rPr>
        <w:t>Mülk değerlerindeki yıllık artış meblağa eklendiği zaman, ödemedeki</w:t>
      </w:r>
      <w:r>
        <w:t xml:space="preserve"> gecikmeler için bileşik faiz uygulamak haksız</w:t>
      </w:r>
      <w:r w:rsidR="00813DF6">
        <w:t>lık olacaktı. Ayrıca başvuran</w:t>
      </w:r>
      <w:r>
        <w:t xml:space="preserve">ın hesaplamalarında vergi yükümlülükleri, mülk tamir masrafları ve harcamaları gibi giderler göz önüne alınmamıştır. </w:t>
      </w:r>
    </w:p>
    <w:p w:rsidR="009F36F9" w:rsidRDefault="009F36F9" w:rsidP="00D67AAB">
      <w:pPr>
        <w:pStyle w:val="NormalWeb"/>
        <w:ind w:firstLine="709"/>
        <w:jc w:val="both"/>
      </w:pPr>
    </w:p>
    <w:p w:rsidR="00D67AAB" w:rsidRDefault="00D67AAB" w:rsidP="00D67AAB">
      <w:pPr>
        <w:pStyle w:val="NormalWeb"/>
        <w:ind w:firstLine="709"/>
        <w:jc w:val="both"/>
      </w:pPr>
      <w:r>
        <w:t xml:space="preserve">Son olarak Hükümet </w:t>
      </w:r>
      <w:r w:rsidR="00DB5050">
        <w:t>manevi</w:t>
      </w:r>
      <w:r>
        <w:t xml:space="preserve"> tazminat olarak talep edilen meblağın (40.000 CYP), </w:t>
      </w:r>
      <w:r w:rsidRPr="00B3487F">
        <w:rPr>
          <w:i/>
        </w:rPr>
        <w:t>Loizidou</w:t>
      </w:r>
      <w:r>
        <w:t xml:space="preserve"> davasında ödenmesine karar verilen meblağın iki katına denk gelmesi nedeniyle aşırı derecede yüksek olduğu kanaatindedir.</w:t>
      </w:r>
    </w:p>
    <w:p w:rsidR="009F36F9" w:rsidRDefault="009F36F9" w:rsidP="00D67AAB">
      <w:pPr>
        <w:pStyle w:val="NormalWeb"/>
        <w:ind w:firstLine="709"/>
        <w:jc w:val="both"/>
      </w:pPr>
    </w:p>
    <w:p w:rsidR="00D67AAB" w:rsidRPr="00784C87" w:rsidRDefault="00D67AAB" w:rsidP="00784C87">
      <w:pPr>
        <w:pStyle w:val="NormalWeb"/>
        <w:ind w:firstLine="708"/>
        <w:jc w:val="both"/>
        <w:rPr>
          <w:i/>
        </w:rPr>
      </w:pPr>
      <w:r w:rsidRPr="00784C87">
        <w:rPr>
          <w:i/>
        </w:rPr>
        <w:t xml:space="preserve">(c) </w:t>
      </w:r>
      <w:r w:rsidR="00784C87">
        <w:rPr>
          <w:i/>
        </w:rPr>
        <w:t>Müdahil ü</w:t>
      </w:r>
      <w:r w:rsidRPr="00784C87">
        <w:rPr>
          <w:i/>
        </w:rPr>
        <w:t xml:space="preserve">çüncü taraf </w:t>
      </w:r>
    </w:p>
    <w:p w:rsidR="009F36F9" w:rsidRDefault="009F36F9" w:rsidP="00D67AAB">
      <w:pPr>
        <w:pStyle w:val="NormalWeb"/>
        <w:ind w:firstLine="709"/>
        <w:jc w:val="both"/>
      </w:pPr>
    </w:p>
    <w:p w:rsidR="00D67AAB" w:rsidRDefault="00D67AAB" w:rsidP="00D67AAB">
      <w:pPr>
        <w:pStyle w:val="NormalWeb"/>
        <w:ind w:firstLine="709"/>
        <w:jc w:val="both"/>
      </w:pPr>
      <w:r>
        <w:t>Kıbrıs Hükümeti başvuranın adil tazmin taleplerini bütünüyle desteklemektedir.</w:t>
      </w:r>
    </w:p>
    <w:p w:rsidR="009F36F9" w:rsidRDefault="009F36F9" w:rsidP="00D67AAB">
      <w:pPr>
        <w:pStyle w:val="NormalWeb"/>
        <w:ind w:firstLine="709"/>
        <w:jc w:val="both"/>
      </w:pPr>
    </w:p>
    <w:p w:rsidR="00D67AAB" w:rsidRDefault="00D67AAB" w:rsidP="00D67AAB">
      <w:pPr>
        <w:pStyle w:val="NormalWeb"/>
        <w:jc w:val="both"/>
        <w:rPr>
          <w:b/>
          <w:i/>
        </w:rPr>
      </w:pPr>
      <w:r>
        <w:rPr>
          <w:b/>
          <w:i/>
        </w:rPr>
        <w:t>2. AİHM’nin değerlendirmesi</w:t>
      </w:r>
    </w:p>
    <w:p w:rsidR="009F36F9" w:rsidRDefault="009F36F9" w:rsidP="00D67AAB">
      <w:pPr>
        <w:pStyle w:val="NormalWeb"/>
        <w:jc w:val="both"/>
        <w:rPr>
          <w:b/>
          <w:i/>
        </w:rPr>
      </w:pPr>
    </w:p>
    <w:p w:rsidR="00D67AAB" w:rsidRDefault="00D67AAB" w:rsidP="00D67AAB">
      <w:pPr>
        <w:pStyle w:val="NormalWeb"/>
        <w:ind w:firstLine="709"/>
        <w:jc w:val="both"/>
      </w:pPr>
      <w:r>
        <w:t>AİHM, Türk polisinin başvurana uyguladığı muamele hususunda AİHS’nin 3. maddesinin ihlal edildiği sonucuna vardığını gözlemlemekte ve yalnızca ihlal tespiti ile telafi edilemeyecek ciddilikte bir zarara uğrandığı göz önüne alınarak sözkonusu başlık altında tazminat ödenmesi gerektiği kanısına varmaktadır. AİHM</w:t>
      </w:r>
      <w:r w:rsidR="00813DF6">
        <w:t>,</w:t>
      </w:r>
      <w:r>
        <w:t xml:space="preserve"> b</w:t>
      </w:r>
      <w:r w:rsidR="00813DF6">
        <w:t>aşvurana hakkaniyet temelinde 5.</w:t>
      </w:r>
      <w:r>
        <w:t>000 Euro ve bu meblağa uygulanabilecek her tür verginin ödenmesine karar vermiştir.</w:t>
      </w:r>
    </w:p>
    <w:p w:rsidR="009F36F9" w:rsidRDefault="009F36F9" w:rsidP="00D67AAB">
      <w:pPr>
        <w:pStyle w:val="NormalWeb"/>
        <w:ind w:firstLine="709"/>
        <w:jc w:val="both"/>
      </w:pPr>
    </w:p>
    <w:p w:rsidR="00D67AAB" w:rsidRPr="00B83605" w:rsidRDefault="00813DF6" w:rsidP="00D67AAB">
      <w:pPr>
        <w:pStyle w:val="NormalWeb"/>
        <w:ind w:firstLine="709"/>
        <w:jc w:val="both"/>
      </w:pPr>
      <w:r>
        <w:t>AİHM, AİHS’ye E</w:t>
      </w:r>
      <w:r w:rsidR="00D67AAB">
        <w:t>k 1 No’lu Protokol’ün 1. maddesinin ihlaline ilişkin olarak, dava koşulları altında 41. maddenin maddi ve manevi tazminat hususunda uygulanması konusunun henüz karara bağlanma aşamasında olmadığı kanısına varmıştır. Özellikle, tarafların</w:t>
      </w:r>
      <w:r>
        <w:t>,</w:t>
      </w:r>
      <w:r w:rsidR="00D67AAB">
        <w:t xml:space="preserve"> Türk </w:t>
      </w:r>
      <w:r w:rsidR="00D67AAB">
        <w:lastRenderedPageBreak/>
        <w:t>müdahalesinin gerçekleştiği tarihte Kıbrıs’ta bulunan arsa ve gayrimenkul fiyatlarına ilişkin güvenilir ve tarafsız veriler sunmadıklarını gözlemlemektedir. Bu tutumları AİHM’nin, mülkünün 1974 yılındaki piyasa değeri hususunda başvuranın yaptığı değerlendirmelerin makul olup olmadığına karar vermesini güçleştirmektedir. Dolayısıyla Sorumlu Hükümet ve başvuran arasında varılması muhtemel mutabakata uygun olarak konunun incelenmesine devam edilmeli ve müteakip prosedür belirlenmelidir (AİHM İç Tüzüğü’nün 75/1 maddesi).</w:t>
      </w:r>
    </w:p>
    <w:p w:rsidR="009F36F9" w:rsidRDefault="009F36F9" w:rsidP="00D67AAB">
      <w:pPr>
        <w:spacing w:after="200" w:line="276" w:lineRule="auto"/>
        <w:jc w:val="both"/>
        <w:rPr>
          <w:b/>
          <w:color w:val="000000" w:themeColor="text1"/>
        </w:rPr>
      </w:pPr>
    </w:p>
    <w:p w:rsidR="00D67AAB" w:rsidRPr="003E4C8E" w:rsidRDefault="003E4C8E" w:rsidP="003E4C8E">
      <w:pPr>
        <w:ind w:left="708" w:firstLine="0"/>
        <w:rPr>
          <w:b/>
        </w:rPr>
      </w:pPr>
      <w:r>
        <w:rPr>
          <w:b/>
        </w:rPr>
        <w:t xml:space="preserve">B. </w:t>
      </w:r>
      <w:r w:rsidR="00D67AAB" w:rsidRPr="003E4C8E">
        <w:rPr>
          <w:b/>
        </w:rPr>
        <w:t>Masraf ve harcamalar</w:t>
      </w:r>
    </w:p>
    <w:p w:rsidR="00813DF6" w:rsidRPr="00813DF6" w:rsidRDefault="00813DF6" w:rsidP="00813DF6">
      <w:pPr>
        <w:pStyle w:val="ListeParagraf"/>
        <w:ind w:left="1068" w:firstLine="0"/>
        <w:rPr>
          <w:b/>
        </w:rPr>
      </w:pPr>
    </w:p>
    <w:p w:rsidR="00D67AAB" w:rsidRDefault="00D67AAB" w:rsidP="003E4C8E">
      <w:pPr>
        <w:jc w:val="both"/>
      </w:pPr>
      <w:r>
        <w:t>Başvuran Nisan 2000 tarihli adil tazmin taleplerinde AİHM önünde yapt</w:t>
      </w:r>
      <w:r w:rsidR="003E4C8E">
        <w:t>ığı masraf ve harcamalar için 4.</w:t>
      </w:r>
      <w:r>
        <w:t>000 CYP (yaklaşık 6,834 Euro) talep etmiştir. Bu meblağ mülkünün değerinin hesaplandığı bilirkişi raporu harcamalarını da kapsamaktadır.</w:t>
      </w:r>
    </w:p>
    <w:p w:rsidR="003E4C8E" w:rsidRDefault="003E4C8E" w:rsidP="003E4C8E">
      <w:pPr>
        <w:jc w:val="both"/>
      </w:pPr>
    </w:p>
    <w:p w:rsidR="00D67AAB" w:rsidRDefault="00D67AAB" w:rsidP="003E4C8E">
      <w:pPr>
        <w:jc w:val="both"/>
      </w:pPr>
      <w:r>
        <w:t>Hükümet bu hususta görüş belirtmemiştir.</w:t>
      </w:r>
    </w:p>
    <w:p w:rsidR="003E4C8E" w:rsidRDefault="003E4C8E" w:rsidP="003E4C8E">
      <w:pPr>
        <w:jc w:val="both"/>
      </w:pPr>
    </w:p>
    <w:p w:rsidR="00D67AAB" w:rsidRDefault="00D67AAB" w:rsidP="003E4C8E">
      <w:pPr>
        <w:jc w:val="both"/>
      </w:pPr>
      <w:r>
        <w:t>AİHM</w:t>
      </w:r>
      <w:r w:rsidR="003E4C8E">
        <w:t>,</w:t>
      </w:r>
      <w:r>
        <w:t xml:space="preserve"> dava koşulları altında AİHS’nin 41. maddesinin masraf ve harcamalar açısından karara bağlanma aşamasında olmadığı kanaatindedir. Dolayısıyla Sorumlu Hükümet ve başvuran arasında varılması muhtemel mutabakata uygun olarak konunun incelenmesine devam edilmeli ve müteakip prosedür belirlenmelidir.</w:t>
      </w:r>
    </w:p>
    <w:p w:rsidR="003E4C8E" w:rsidRPr="004652E6" w:rsidRDefault="003E4C8E" w:rsidP="00813DF6"/>
    <w:p w:rsidR="00D67AAB" w:rsidRPr="002A3A39" w:rsidRDefault="00D67AAB" w:rsidP="00D67AAB">
      <w:pPr>
        <w:pStyle w:val="GvdeMetniGirintisi"/>
        <w:spacing w:after="200" w:line="276" w:lineRule="auto"/>
        <w:ind w:left="0"/>
        <w:jc w:val="both"/>
        <w:rPr>
          <w:b/>
          <w:color w:val="000000" w:themeColor="text1"/>
          <w:sz w:val="28"/>
          <w:szCs w:val="28"/>
        </w:rPr>
      </w:pPr>
      <w:r w:rsidRPr="002A3A39">
        <w:rPr>
          <w:b/>
          <w:color w:val="000000" w:themeColor="text1"/>
          <w:sz w:val="28"/>
          <w:szCs w:val="28"/>
        </w:rPr>
        <w:t xml:space="preserve">AİHM YUKARIDAKİ GEREKÇELERE DAYANARAK, </w:t>
      </w:r>
    </w:p>
    <w:p w:rsidR="00D67AAB" w:rsidRPr="002A3A39" w:rsidRDefault="00D67AAB" w:rsidP="00D67AAB">
      <w:pPr>
        <w:pStyle w:val="ListeParagraf"/>
        <w:numPr>
          <w:ilvl w:val="0"/>
          <w:numId w:val="41"/>
        </w:numPr>
        <w:spacing w:after="200" w:line="276" w:lineRule="auto"/>
        <w:ind w:left="357" w:hanging="357"/>
        <w:jc w:val="both"/>
        <w:rPr>
          <w:color w:val="000000" w:themeColor="text1"/>
        </w:rPr>
      </w:pPr>
      <w:r w:rsidRPr="002A3A39">
        <w:rPr>
          <w:color w:val="000000" w:themeColor="text1"/>
        </w:rPr>
        <w:t xml:space="preserve">Oybirliğiyle, </w:t>
      </w:r>
      <w:r>
        <w:rPr>
          <w:color w:val="000000" w:themeColor="text1"/>
        </w:rPr>
        <w:t xml:space="preserve">1 No’lu Protokol’ün 1. maddesinin </w:t>
      </w:r>
      <w:r w:rsidRPr="005A0255">
        <w:rPr>
          <w:i/>
          <w:color w:val="000000" w:themeColor="text1"/>
        </w:rPr>
        <w:t>ihlal edildiğine</w:t>
      </w:r>
      <w:r w:rsidRPr="002A3A39">
        <w:rPr>
          <w:color w:val="000000" w:themeColor="text1"/>
        </w:rPr>
        <w:t>;</w:t>
      </w:r>
      <w:r w:rsidRPr="002A3A39">
        <w:rPr>
          <w:i/>
          <w:color w:val="000000" w:themeColor="text1"/>
        </w:rPr>
        <w:t xml:space="preserve"> </w:t>
      </w:r>
    </w:p>
    <w:p w:rsidR="00D67AAB" w:rsidRPr="002A3A39" w:rsidRDefault="00D67AAB" w:rsidP="00D67AAB">
      <w:pPr>
        <w:pStyle w:val="ListeParagraf"/>
        <w:numPr>
          <w:ilvl w:val="0"/>
          <w:numId w:val="41"/>
        </w:numPr>
        <w:spacing w:after="200" w:line="276" w:lineRule="auto"/>
        <w:ind w:left="357" w:hanging="357"/>
        <w:jc w:val="both"/>
        <w:rPr>
          <w:color w:val="000000" w:themeColor="text1"/>
        </w:rPr>
      </w:pPr>
      <w:r w:rsidRPr="002A3A39">
        <w:rPr>
          <w:color w:val="000000" w:themeColor="text1"/>
        </w:rPr>
        <w:t xml:space="preserve">Oybirliğiyle, </w:t>
      </w:r>
      <w:r w:rsidRPr="001C4D7D">
        <w:rPr>
          <w:color w:val="000000" w:themeColor="text1"/>
        </w:rPr>
        <w:t xml:space="preserve">AİHS’nin 14. </w:t>
      </w:r>
      <w:r>
        <w:rPr>
          <w:color w:val="000000" w:themeColor="text1"/>
        </w:rPr>
        <w:t>m</w:t>
      </w:r>
      <w:r w:rsidRPr="001C4D7D">
        <w:rPr>
          <w:color w:val="000000" w:themeColor="text1"/>
        </w:rPr>
        <w:t>addesinin</w:t>
      </w:r>
      <w:r>
        <w:rPr>
          <w:i/>
          <w:color w:val="000000" w:themeColor="text1"/>
        </w:rPr>
        <w:t xml:space="preserve"> </w:t>
      </w:r>
      <w:r>
        <w:rPr>
          <w:color w:val="000000" w:themeColor="text1"/>
        </w:rPr>
        <w:t xml:space="preserve">1 No’lu Protokol’ün 1. maddesiyle birlikte ihlal edilip edilmediğini incelemenin </w:t>
      </w:r>
      <w:r w:rsidRPr="001C4D7D">
        <w:rPr>
          <w:i/>
          <w:color w:val="000000" w:themeColor="text1"/>
        </w:rPr>
        <w:t>gerekli olmadığına</w:t>
      </w:r>
      <w:r w:rsidRPr="002A3A39">
        <w:rPr>
          <w:color w:val="000000" w:themeColor="text1"/>
        </w:rPr>
        <w:t>;</w:t>
      </w:r>
    </w:p>
    <w:p w:rsidR="00D67AAB" w:rsidRPr="002A3A39" w:rsidRDefault="00D67AAB" w:rsidP="00D67AAB">
      <w:pPr>
        <w:pStyle w:val="ListeParagraf"/>
        <w:numPr>
          <w:ilvl w:val="0"/>
          <w:numId w:val="41"/>
        </w:numPr>
        <w:spacing w:after="200" w:line="276" w:lineRule="auto"/>
        <w:ind w:left="357" w:hanging="357"/>
        <w:jc w:val="both"/>
        <w:rPr>
          <w:color w:val="000000" w:themeColor="text1"/>
        </w:rPr>
      </w:pPr>
      <w:r>
        <w:rPr>
          <w:color w:val="000000" w:themeColor="text1"/>
        </w:rPr>
        <w:t xml:space="preserve">1’e 6 oyla AİHS’nin 3. maddesinin </w:t>
      </w:r>
      <w:r w:rsidRPr="001B2C35">
        <w:rPr>
          <w:i/>
          <w:color w:val="000000" w:themeColor="text1"/>
        </w:rPr>
        <w:t>ihlal edildiğine</w:t>
      </w:r>
      <w:r w:rsidRPr="002A3A39">
        <w:rPr>
          <w:color w:val="000000" w:themeColor="text1"/>
        </w:rPr>
        <w:t>;</w:t>
      </w:r>
    </w:p>
    <w:p w:rsidR="00D67AAB" w:rsidRDefault="00D67AAB" w:rsidP="00D67AAB">
      <w:pPr>
        <w:pStyle w:val="ListeParagraf"/>
        <w:numPr>
          <w:ilvl w:val="0"/>
          <w:numId w:val="41"/>
        </w:numPr>
        <w:spacing w:after="200" w:line="276" w:lineRule="auto"/>
        <w:ind w:left="357" w:hanging="357"/>
        <w:jc w:val="both"/>
        <w:rPr>
          <w:color w:val="000000" w:themeColor="text1"/>
        </w:rPr>
      </w:pPr>
      <w:r w:rsidRPr="002A3A39">
        <w:rPr>
          <w:color w:val="000000" w:themeColor="text1"/>
        </w:rPr>
        <w:t xml:space="preserve">Oybirliğiyle, </w:t>
      </w:r>
      <w:r>
        <w:rPr>
          <w:color w:val="000000" w:themeColor="text1"/>
        </w:rPr>
        <w:t>AİHS’nin 11</w:t>
      </w:r>
      <w:r w:rsidRPr="002A3A39">
        <w:rPr>
          <w:color w:val="000000" w:themeColor="text1"/>
        </w:rPr>
        <w:t xml:space="preserve">. maddesini </w:t>
      </w:r>
      <w:r w:rsidRPr="002A3A39">
        <w:rPr>
          <w:i/>
          <w:color w:val="000000" w:themeColor="text1"/>
        </w:rPr>
        <w:t xml:space="preserve">ihlal </w:t>
      </w:r>
      <w:r w:rsidR="003E4C8E">
        <w:rPr>
          <w:i/>
          <w:color w:val="000000" w:themeColor="text1"/>
        </w:rPr>
        <w:t>edilmediğine</w:t>
      </w:r>
    </w:p>
    <w:p w:rsidR="00D67AAB" w:rsidRPr="002A3A39" w:rsidRDefault="00D67AAB" w:rsidP="00D67AAB">
      <w:pPr>
        <w:pStyle w:val="ListeParagraf"/>
        <w:numPr>
          <w:ilvl w:val="0"/>
          <w:numId w:val="41"/>
        </w:numPr>
        <w:spacing w:after="200" w:line="276" w:lineRule="auto"/>
        <w:ind w:left="357" w:hanging="357"/>
        <w:jc w:val="both"/>
        <w:rPr>
          <w:color w:val="000000" w:themeColor="text1"/>
        </w:rPr>
      </w:pPr>
      <w:r>
        <w:rPr>
          <w:color w:val="000000" w:themeColor="text1"/>
        </w:rPr>
        <w:t>1’e 6 oyla</w:t>
      </w:r>
    </w:p>
    <w:p w:rsidR="00D67AAB" w:rsidRPr="00105F80" w:rsidRDefault="00D67AAB" w:rsidP="00D67AAB">
      <w:pPr>
        <w:pStyle w:val="ListeParagraf"/>
        <w:numPr>
          <w:ilvl w:val="0"/>
          <w:numId w:val="42"/>
        </w:numPr>
        <w:spacing w:after="200" w:line="276" w:lineRule="auto"/>
        <w:jc w:val="both"/>
        <w:rPr>
          <w:color w:val="000000" w:themeColor="text1"/>
        </w:rPr>
      </w:pPr>
      <w:r w:rsidRPr="00105F80">
        <w:rPr>
          <w:color w:val="000000" w:themeColor="text1"/>
        </w:rPr>
        <w:t>Savunmacı Devlet’in AİHS’nin 44. maddesinin 2. fıkrası uyarınca kararın kesinleştiği</w:t>
      </w:r>
      <w:r>
        <w:rPr>
          <w:color w:val="000000" w:themeColor="text1"/>
        </w:rPr>
        <w:t xml:space="preserve"> tarihten itibaren üç ay içinde başvurana</w:t>
      </w:r>
      <w:r w:rsidRPr="00105F80">
        <w:rPr>
          <w:color w:val="000000" w:themeColor="text1"/>
        </w:rPr>
        <w:t xml:space="preserve"> </w:t>
      </w:r>
      <w:r>
        <w:rPr>
          <w:color w:val="000000" w:themeColor="text1"/>
        </w:rPr>
        <w:t>AİHS’nin 3. maddesinin ihlali hus</w:t>
      </w:r>
      <w:r w:rsidR="003E4C8E">
        <w:rPr>
          <w:color w:val="000000" w:themeColor="text1"/>
        </w:rPr>
        <w:t>usunda manevi tazminat olarak 5.</w:t>
      </w:r>
      <w:r>
        <w:rPr>
          <w:color w:val="000000" w:themeColor="text1"/>
        </w:rPr>
        <w:t xml:space="preserve">000 Euro (beş bin Euro) ve ödenebilecek her tür vergiyi </w:t>
      </w:r>
      <w:r w:rsidRPr="00105F80">
        <w:rPr>
          <w:i/>
          <w:color w:val="000000" w:themeColor="text1"/>
        </w:rPr>
        <w:t>ödemesine</w:t>
      </w:r>
      <w:r>
        <w:rPr>
          <w:color w:val="000000" w:themeColor="text1"/>
        </w:rPr>
        <w:t>;</w:t>
      </w:r>
    </w:p>
    <w:p w:rsidR="00D67AAB" w:rsidRPr="002A3A39" w:rsidRDefault="00D67AAB" w:rsidP="00D67AAB">
      <w:pPr>
        <w:pStyle w:val="GvdeMetniGirintisi"/>
        <w:spacing w:after="200" w:line="276" w:lineRule="auto"/>
        <w:ind w:left="417"/>
        <w:jc w:val="both"/>
        <w:rPr>
          <w:noProof/>
          <w:color w:val="000000" w:themeColor="text1"/>
        </w:rPr>
      </w:pPr>
      <w:r w:rsidRPr="002A3A39">
        <w:rPr>
          <w:iCs/>
          <w:noProof/>
          <w:color w:val="000000" w:themeColor="text1"/>
        </w:rPr>
        <w:t>(</w:t>
      </w:r>
      <w:r w:rsidR="002A73DC">
        <w:rPr>
          <w:iCs/>
          <w:noProof/>
          <w:color w:val="000000" w:themeColor="text1"/>
        </w:rPr>
        <w:t>b</w:t>
      </w:r>
      <w:r w:rsidRPr="002A3A39">
        <w:rPr>
          <w:iCs/>
          <w:noProof/>
          <w:color w:val="000000" w:themeColor="text1"/>
        </w:rPr>
        <w:t xml:space="preserve">) Yukarıda </w:t>
      </w:r>
      <w:r w:rsidRPr="002A3A39">
        <w:rPr>
          <w:noProof/>
          <w:color w:val="000000" w:themeColor="text1"/>
        </w:rPr>
        <w:t xml:space="preserve">anılan üç aylık sürenin aşılmasından ödeme gününe kadar geçen süre için Avrupa Merkez Bankası’nın kısa vadeli kredilere uyguladığı faiz oranına üç puan eklemek suretiyle elde edilecek oranın gecikme faizi olarak </w:t>
      </w:r>
      <w:r w:rsidRPr="002A3A39">
        <w:rPr>
          <w:i/>
          <w:noProof/>
          <w:color w:val="000000" w:themeColor="text1"/>
        </w:rPr>
        <w:t>uygulanmasına</w:t>
      </w:r>
      <w:r w:rsidRPr="002A3A39">
        <w:rPr>
          <w:noProof/>
          <w:color w:val="000000" w:themeColor="text1"/>
        </w:rPr>
        <w:t>;</w:t>
      </w:r>
    </w:p>
    <w:p w:rsidR="00D67AAB" w:rsidRDefault="00D67AAB" w:rsidP="00D67AAB">
      <w:pPr>
        <w:pStyle w:val="GvdeMetniGirintisi"/>
        <w:numPr>
          <w:ilvl w:val="0"/>
          <w:numId w:val="41"/>
        </w:numPr>
        <w:spacing w:after="0" w:line="240" w:lineRule="atLeast"/>
        <w:ind w:left="357"/>
        <w:jc w:val="both"/>
        <w:rPr>
          <w:color w:val="000000" w:themeColor="text1"/>
        </w:rPr>
      </w:pPr>
      <w:r>
        <w:rPr>
          <w:color w:val="000000" w:themeColor="text1"/>
        </w:rPr>
        <w:t xml:space="preserve">Oybirliğiyle, AİHS’nin 41. maddesinin 1 No’lu Protokol’ün 1. maddesinin ihlal edilmesi açısından karara bağlanma aşamasında </w:t>
      </w:r>
      <w:r w:rsidRPr="00445853">
        <w:rPr>
          <w:i/>
          <w:color w:val="000000" w:themeColor="text1"/>
        </w:rPr>
        <w:t>olmadığına</w:t>
      </w:r>
      <w:r>
        <w:rPr>
          <w:color w:val="000000" w:themeColor="text1"/>
        </w:rPr>
        <w:t>;</w:t>
      </w:r>
    </w:p>
    <w:p w:rsidR="00D67AAB" w:rsidRDefault="00D67AAB" w:rsidP="00D67AAB">
      <w:pPr>
        <w:pStyle w:val="GvdeMetniGirintisi"/>
        <w:spacing w:after="0" w:line="240" w:lineRule="atLeast"/>
        <w:ind w:left="357"/>
        <w:jc w:val="both"/>
        <w:rPr>
          <w:color w:val="000000" w:themeColor="text1"/>
        </w:rPr>
      </w:pPr>
      <w:r>
        <w:rPr>
          <w:color w:val="000000" w:themeColor="text1"/>
        </w:rPr>
        <w:t>dolayısıyla,</w:t>
      </w:r>
    </w:p>
    <w:p w:rsidR="00D67AAB" w:rsidRDefault="00D67AAB" w:rsidP="00D67AAB">
      <w:pPr>
        <w:pStyle w:val="GvdeMetniGirintisi"/>
        <w:numPr>
          <w:ilvl w:val="0"/>
          <w:numId w:val="44"/>
        </w:numPr>
        <w:spacing w:after="0" w:line="240" w:lineRule="atLeast"/>
        <w:jc w:val="both"/>
        <w:rPr>
          <w:color w:val="000000" w:themeColor="text1"/>
        </w:rPr>
      </w:pPr>
      <w:r>
        <w:rPr>
          <w:color w:val="000000" w:themeColor="text1"/>
        </w:rPr>
        <w:t xml:space="preserve">sözkonusu hususun incelenmeye </w:t>
      </w:r>
      <w:r w:rsidRPr="0009747E">
        <w:rPr>
          <w:i/>
          <w:color w:val="000000" w:themeColor="text1"/>
        </w:rPr>
        <w:t>devam edilmesine</w:t>
      </w:r>
      <w:r>
        <w:rPr>
          <w:color w:val="000000" w:themeColor="text1"/>
        </w:rPr>
        <w:t>;</w:t>
      </w:r>
    </w:p>
    <w:p w:rsidR="00D67AAB" w:rsidRDefault="00D67AAB" w:rsidP="00D67AAB">
      <w:pPr>
        <w:pStyle w:val="GvdeMetniGirintisi"/>
        <w:numPr>
          <w:ilvl w:val="0"/>
          <w:numId w:val="44"/>
        </w:numPr>
        <w:spacing w:after="0" w:line="240" w:lineRule="atLeast"/>
        <w:jc w:val="both"/>
        <w:rPr>
          <w:color w:val="000000" w:themeColor="text1"/>
        </w:rPr>
      </w:pPr>
      <w:r w:rsidRPr="00105F80">
        <w:rPr>
          <w:color w:val="000000" w:themeColor="text1"/>
        </w:rPr>
        <w:t>AİHS’nin 44. maddesinin 2. fıkrası uyarınca kararın kesinleştiği</w:t>
      </w:r>
      <w:r>
        <w:rPr>
          <w:color w:val="000000" w:themeColor="text1"/>
        </w:rPr>
        <w:t xml:space="preserve"> tarihten itibaren üç ay içinde Hükümet’i ve başvuranı konuya ilişkin yazılı görüşlerini sunmaya ve varabilecekleri herhangi bir mutabakatı AİHM’ye bildirmeye </w:t>
      </w:r>
      <w:r w:rsidRPr="00BF26C4">
        <w:rPr>
          <w:i/>
          <w:color w:val="000000" w:themeColor="text1"/>
        </w:rPr>
        <w:t>davet etmeye</w:t>
      </w:r>
      <w:r>
        <w:rPr>
          <w:color w:val="000000" w:themeColor="text1"/>
        </w:rPr>
        <w:t>;</w:t>
      </w:r>
    </w:p>
    <w:p w:rsidR="00D67AAB" w:rsidRDefault="00D67AAB" w:rsidP="00D67AAB">
      <w:pPr>
        <w:pStyle w:val="GvdeMetniGirintisi"/>
        <w:numPr>
          <w:ilvl w:val="0"/>
          <w:numId w:val="44"/>
        </w:numPr>
        <w:spacing w:after="0" w:line="240" w:lineRule="atLeast"/>
        <w:jc w:val="both"/>
        <w:rPr>
          <w:color w:val="000000" w:themeColor="text1"/>
        </w:rPr>
      </w:pPr>
      <w:r w:rsidRPr="00D67AAB">
        <w:rPr>
          <w:color w:val="000000" w:themeColor="text1"/>
        </w:rPr>
        <w:t>uygulanacak</w:t>
      </w:r>
      <w:r>
        <w:rPr>
          <w:color w:val="000000" w:themeColor="text1"/>
        </w:rPr>
        <w:t xml:space="preserve"> prosedürün </w:t>
      </w:r>
      <w:r>
        <w:rPr>
          <w:i/>
          <w:color w:val="000000" w:themeColor="text1"/>
        </w:rPr>
        <w:t>saklı tutulmasına</w:t>
      </w:r>
      <w:r>
        <w:rPr>
          <w:color w:val="000000" w:themeColor="text1"/>
        </w:rPr>
        <w:t xml:space="preserve"> ve ihtiyaç duyulması halinde, Daire Başkanı’na aynı prosedürü tespit etme </w:t>
      </w:r>
      <w:r w:rsidRPr="00025876">
        <w:rPr>
          <w:i/>
          <w:color w:val="000000" w:themeColor="text1"/>
        </w:rPr>
        <w:t>yetkisi verilmesine</w:t>
      </w:r>
      <w:r>
        <w:rPr>
          <w:i/>
          <w:color w:val="000000" w:themeColor="text1"/>
        </w:rPr>
        <w:t>;</w:t>
      </w:r>
    </w:p>
    <w:p w:rsidR="00D67AAB" w:rsidRDefault="00D67AAB" w:rsidP="00D67AAB">
      <w:pPr>
        <w:pStyle w:val="GvdeMetniGirintisi"/>
        <w:spacing w:after="0" w:line="240" w:lineRule="atLeast"/>
        <w:ind w:left="357"/>
        <w:jc w:val="both"/>
        <w:rPr>
          <w:color w:val="000000" w:themeColor="text1"/>
        </w:rPr>
      </w:pPr>
    </w:p>
    <w:p w:rsidR="00D67AAB" w:rsidRPr="002A3A39" w:rsidRDefault="00D67AAB" w:rsidP="00D67AAB">
      <w:pPr>
        <w:pStyle w:val="GvdeMetniGirintisi"/>
        <w:spacing w:after="200" w:line="276" w:lineRule="auto"/>
        <w:ind w:left="0" w:firstLine="709"/>
        <w:jc w:val="both"/>
        <w:rPr>
          <w:b/>
          <w:i/>
          <w:color w:val="000000" w:themeColor="text1"/>
        </w:rPr>
      </w:pPr>
      <w:r w:rsidRPr="002A3A39">
        <w:rPr>
          <w:b/>
          <w:i/>
          <w:color w:val="000000" w:themeColor="text1"/>
        </w:rPr>
        <w:t>KARAR VERMİŞTİR.</w:t>
      </w:r>
    </w:p>
    <w:p w:rsidR="006A1B1E" w:rsidRPr="00B84C4B" w:rsidRDefault="00D67AAB" w:rsidP="00DD43FF">
      <w:pPr>
        <w:spacing w:after="100" w:afterAutospacing="1"/>
        <w:ind w:firstLine="0"/>
        <w:jc w:val="both"/>
      </w:pPr>
      <w:r w:rsidRPr="002A3A39">
        <w:rPr>
          <w:color w:val="000000" w:themeColor="text1"/>
        </w:rPr>
        <w:lastRenderedPageBreak/>
        <w:t>İşbu karar İngilizce hazırlanmış, AİHM İç Tüzüğü’nün 77. maddesinin</w:t>
      </w:r>
      <w:r>
        <w:rPr>
          <w:color w:val="000000" w:themeColor="text1"/>
        </w:rPr>
        <w:t xml:space="preserve"> 2. ve 3. fıkraları uyarınca 22 Eylül 2009</w:t>
      </w:r>
      <w:r w:rsidRPr="002A3A39">
        <w:rPr>
          <w:color w:val="000000" w:themeColor="text1"/>
        </w:rPr>
        <w:t xml:space="preserve"> tarihinde yazılı olarak tebliğ edilmişti</w:t>
      </w:r>
      <w:r w:rsidR="00DD43FF">
        <w:t xml:space="preserve">r. </w:t>
      </w:r>
    </w:p>
    <w:sectPr w:rsidR="006A1B1E" w:rsidRPr="00B84C4B" w:rsidSect="002A1ED0">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C2" w:rsidRDefault="006825C2" w:rsidP="00D40C5D">
      <w:r>
        <w:separator/>
      </w:r>
    </w:p>
  </w:endnote>
  <w:endnote w:type="continuationSeparator" w:id="0">
    <w:p w:rsidR="006825C2" w:rsidRDefault="006825C2" w:rsidP="00D40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D0" w:rsidRDefault="00F21007" w:rsidP="002A1ED0">
    <w:pPr>
      <w:pStyle w:val="Altbilgi"/>
      <w:framePr w:wrap="around" w:vAnchor="text" w:hAnchor="margin" w:xAlign="right" w:y="1"/>
      <w:rPr>
        <w:rStyle w:val="SayfaNumaras"/>
      </w:rPr>
    </w:pPr>
    <w:r>
      <w:rPr>
        <w:rStyle w:val="SayfaNumaras"/>
      </w:rPr>
      <w:fldChar w:fldCharType="begin"/>
    </w:r>
    <w:r w:rsidR="002A1ED0">
      <w:rPr>
        <w:rStyle w:val="SayfaNumaras"/>
      </w:rPr>
      <w:instrText xml:space="preserve">PAGE  </w:instrText>
    </w:r>
    <w:r>
      <w:rPr>
        <w:rStyle w:val="SayfaNumaras"/>
      </w:rPr>
      <w:fldChar w:fldCharType="end"/>
    </w:r>
  </w:p>
  <w:p w:rsidR="002A1ED0" w:rsidRDefault="002A1ED0" w:rsidP="002A1ED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D0" w:rsidRDefault="00F21007" w:rsidP="002A1ED0">
    <w:pPr>
      <w:pStyle w:val="Altbilgi"/>
      <w:framePr w:wrap="around" w:vAnchor="text" w:hAnchor="margin" w:xAlign="right" w:y="1"/>
      <w:rPr>
        <w:rStyle w:val="SayfaNumaras"/>
      </w:rPr>
    </w:pPr>
    <w:r>
      <w:rPr>
        <w:rStyle w:val="SayfaNumaras"/>
      </w:rPr>
      <w:fldChar w:fldCharType="begin"/>
    </w:r>
    <w:r w:rsidR="002A1ED0">
      <w:rPr>
        <w:rStyle w:val="SayfaNumaras"/>
      </w:rPr>
      <w:instrText xml:space="preserve">PAGE  </w:instrText>
    </w:r>
    <w:r>
      <w:rPr>
        <w:rStyle w:val="SayfaNumaras"/>
      </w:rPr>
      <w:fldChar w:fldCharType="separate"/>
    </w:r>
    <w:r w:rsidR="00823940">
      <w:rPr>
        <w:rStyle w:val="SayfaNumaras"/>
        <w:noProof/>
      </w:rPr>
      <w:t>13</w:t>
    </w:r>
    <w:r>
      <w:rPr>
        <w:rStyle w:val="SayfaNumaras"/>
      </w:rPr>
      <w:fldChar w:fldCharType="end"/>
    </w:r>
  </w:p>
  <w:p w:rsidR="002A1ED0" w:rsidRDefault="002A1ED0" w:rsidP="002A1ED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C2" w:rsidRDefault="006825C2" w:rsidP="00D40C5D">
      <w:r>
        <w:separator/>
      </w:r>
    </w:p>
  </w:footnote>
  <w:footnote w:type="continuationSeparator" w:id="0">
    <w:p w:rsidR="006825C2" w:rsidRDefault="006825C2" w:rsidP="00D40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95D"/>
    <w:multiLevelType w:val="hybridMultilevel"/>
    <w:tmpl w:val="8B9ED860"/>
    <w:lvl w:ilvl="0" w:tplc="20CCA37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8A42B9B"/>
    <w:multiLevelType w:val="hybridMultilevel"/>
    <w:tmpl w:val="1E3C2914"/>
    <w:lvl w:ilvl="0" w:tplc="B5B677EC">
      <w:start w:val="1"/>
      <w:numFmt w:val="low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096B0FD4"/>
    <w:multiLevelType w:val="hybridMultilevel"/>
    <w:tmpl w:val="29C841F4"/>
    <w:lvl w:ilvl="0" w:tplc="543005A0">
      <w:start w:val="2"/>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B62620B"/>
    <w:multiLevelType w:val="hybridMultilevel"/>
    <w:tmpl w:val="9C841196"/>
    <w:lvl w:ilvl="0" w:tplc="E5AC7B02">
      <w:start w:val="1"/>
      <w:numFmt w:val="bullet"/>
      <w:lvlText w:val="-"/>
      <w:lvlJc w:val="left"/>
      <w:pPr>
        <w:ind w:left="1069" w:hanging="360"/>
      </w:pPr>
      <w:rPr>
        <w:rFonts w:ascii="Times New Roman" w:eastAsia="Arial Unicode MS"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0E6C7237"/>
    <w:multiLevelType w:val="hybridMultilevel"/>
    <w:tmpl w:val="B290C2A0"/>
    <w:lvl w:ilvl="0" w:tplc="5C2EC9D0">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5">
    <w:nsid w:val="0E755F2B"/>
    <w:multiLevelType w:val="hybridMultilevel"/>
    <w:tmpl w:val="49024796"/>
    <w:lvl w:ilvl="0" w:tplc="26469E0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F270DDE"/>
    <w:multiLevelType w:val="hybridMultilevel"/>
    <w:tmpl w:val="02A03052"/>
    <w:lvl w:ilvl="0" w:tplc="7EF29E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B35FE4"/>
    <w:multiLevelType w:val="hybridMultilevel"/>
    <w:tmpl w:val="B6FC58FC"/>
    <w:lvl w:ilvl="0" w:tplc="1936A4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064E84"/>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79A23BB"/>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0653EE"/>
    <w:multiLevelType w:val="hybridMultilevel"/>
    <w:tmpl w:val="0B68FE4E"/>
    <w:lvl w:ilvl="0" w:tplc="DA20BCF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B76854"/>
    <w:multiLevelType w:val="hybridMultilevel"/>
    <w:tmpl w:val="9DF8BD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C3155D"/>
    <w:multiLevelType w:val="hybridMultilevel"/>
    <w:tmpl w:val="EB468EEA"/>
    <w:lvl w:ilvl="0" w:tplc="1BEA5DC0">
      <w:start w:val="1"/>
      <w:numFmt w:val="low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1ADD4F71"/>
    <w:multiLevelType w:val="hybridMultilevel"/>
    <w:tmpl w:val="1AC6964C"/>
    <w:lvl w:ilvl="0" w:tplc="7B96AC0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1044D11"/>
    <w:multiLevelType w:val="hybridMultilevel"/>
    <w:tmpl w:val="FDFE97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57B0CCA"/>
    <w:multiLevelType w:val="hybridMultilevel"/>
    <w:tmpl w:val="7DF46976"/>
    <w:lvl w:ilvl="0" w:tplc="107850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2F61A6"/>
    <w:multiLevelType w:val="hybridMultilevel"/>
    <w:tmpl w:val="F6909796"/>
    <w:lvl w:ilvl="0" w:tplc="EFA0764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28A57051"/>
    <w:multiLevelType w:val="hybridMultilevel"/>
    <w:tmpl w:val="B2BA3F2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A8A399C"/>
    <w:multiLevelType w:val="hybridMultilevel"/>
    <w:tmpl w:val="D77068E2"/>
    <w:lvl w:ilvl="0" w:tplc="90F6D5A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DFA7FD7"/>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E4D0C01"/>
    <w:multiLevelType w:val="hybridMultilevel"/>
    <w:tmpl w:val="CDE439EE"/>
    <w:lvl w:ilvl="0" w:tplc="3F225C5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2650B27"/>
    <w:multiLevelType w:val="hybridMultilevel"/>
    <w:tmpl w:val="B3AAECF6"/>
    <w:lvl w:ilvl="0" w:tplc="342E4328">
      <w:start w:val="2"/>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348D4D1C"/>
    <w:multiLevelType w:val="hybridMultilevel"/>
    <w:tmpl w:val="E5CECAE4"/>
    <w:lvl w:ilvl="0" w:tplc="7B5E561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55C419D"/>
    <w:multiLevelType w:val="hybridMultilevel"/>
    <w:tmpl w:val="AA3091AE"/>
    <w:lvl w:ilvl="0" w:tplc="B684632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6423765"/>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F072CA0"/>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9F628D9"/>
    <w:multiLevelType w:val="hybridMultilevel"/>
    <w:tmpl w:val="FAD66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A31283"/>
    <w:multiLevelType w:val="hybridMultilevel"/>
    <w:tmpl w:val="EF029EA2"/>
    <w:lvl w:ilvl="0" w:tplc="6218CC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0A51BE"/>
    <w:multiLevelType w:val="hybridMultilevel"/>
    <w:tmpl w:val="C8B45CFE"/>
    <w:lvl w:ilvl="0" w:tplc="5B2C03A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37209DF"/>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38011C7"/>
    <w:multiLevelType w:val="hybridMultilevel"/>
    <w:tmpl w:val="6D78337A"/>
    <w:lvl w:ilvl="0" w:tplc="0762754C">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1">
    <w:nsid w:val="5B10407B"/>
    <w:multiLevelType w:val="hybridMultilevel"/>
    <w:tmpl w:val="27E86C8C"/>
    <w:lvl w:ilvl="0" w:tplc="C51C63D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2">
    <w:nsid w:val="5C335AC5"/>
    <w:multiLevelType w:val="hybridMultilevel"/>
    <w:tmpl w:val="A28EBF20"/>
    <w:lvl w:ilvl="0" w:tplc="DE6C5AD2">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02B14FF"/>
    <w:multiLevelType w:val="hybridMultilevel"/>
    <w:tmpl w:val="4BC0539E"/>
    <w:lvl w:ilvl="0" w:tplc="A930256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162285B"/>
    <w:multiLevelType w:val="hybridMultilevel"/>
    <w:tmpl w:val="50A2E494"/>
    <w:lvl w:ilvl="0" w:tplc="A150F512">
      <w:start w:val="1"/>
      <w:numFmt w:val="decimal"/>
      <w:lvlText w:val="%1."/>
      <w:lvlJc w:val="left"/>
      <w:pPr>
        <w:ind w:left="1428" w:hanging="360"/>
      </w:pPr>
      <w:rPr>
        <w:rFonts w:hint="default"/>
        <w:i/>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616B2178"/>
    <w:multiLevelType w:val="hybridMultilevel"/>
    <w:tmpl w:val="2FA2B364"/>
    <w:lvl w:ilvl="0" w:tplc="94A4C5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2B1EFE"/>
    <w:multiLevelType w:val="hybridMultilevel"/>
    <w:tmpl w:val="1F266E4C"/>
    <w:lvl w:ilvl="0" w:tplc="E33025D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8A84673"/>
    <w:multiLevelType w:val="hybridMultilevel"/>
    <w:tmpl w:val="C0E24DCA"/>
    <w:lvl w:ilvl="0" w:tplc="93D4B4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8EA2D86"/>
    <w:multiLevelType w:val="hybridMultilevel"/>
    <w:tmpl w:val="DADCCBE8"/>
    <w:lvl w:ilvl="0" w:tplc="3A066F4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97B6BF5"/>
    <w:multiLevelType w:val="hybridMultilevel"/>
    <w:tmpl w:val="D9D08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E9C2756"/>
    <w:multiLevelType w:val="hybridMultilevel"/>
    <w:tmpl w:val="C9BCC2E2"/>
    <w:lvl w:ilvl="0" w:tplc="36C45A5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nsid w:val="6F7819BB"/>
    <w:multiLevelType w:val="hybridMultilevel"/>
    <w:tmpl w:val="2AB24628"/>
    <w:lvl w:ilvl="0" w:tplc="89808E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20B51D2"/>
    <w:multiLevelType w:val="hybridMultilevel"/>
    <w:tmpl w:val="E11A31C4"/>
    <w:lvl w:ilvl="0" w:tplc="95D467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7E072347"/>
    <w:multiLevelType w:val="hybridMultilevel"/>
    <w:tmpl w:val="300CC336"/>
    <w:lvl w:ilvl="0" w:tplc="35FC687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7E776E1D"/>
    <w:multiLevelType w:val="hybridMultilevel"/>
    <w:tmpl w:val="9200A9A6"/>
    <w:lvl w:ilvl="0" w:tplc="DBA02D9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3"/>
  </w:num>
  <w:num w:numId="2">
    <w:abstractNumId w:val="11"/>
  </w:num>
  <w:num w:numId="3">
    <w:abstractNumId w:val="26"/>
  </w:num>
  <w:num w:numId="4">
    <w:abstractNumId w:val="17"/>
  </w:num>
  <w:num w:numId="5">
    <w:abstractNumId w:val="7"/>
  </w:num>
  <w:num w:numId="6">
    <w:abstractNumId w:val="37"/>
  </w:num>
  <w:num w:numId="7">
    <w:abstractNumId w:val="19"/>
  </w:num>
  <w:num w:numId="8">
    <w:abstractNumId w:val="25"/>
  </w:num>
  <w:num w:numId="9">
    <w:abstractNumId w:val="24"/>
  </w:num>
  <w:num w:numId="10">
    <w:abstractNumId w:val="9"/>
  </w:num>
  <w:num w:numId="11">
    <w:abstractNumId w:val="29"/>
  </w:num>
  <w:num w:numId="12">
    <w:abstractNumId w:val="8"/>
  </w:num>
  <w:num w:numId="13">
    <w:abstractNumId w:val="27"/>
  </w:num>
  <w:num w:numId="14">
    <w:abstractNumId w:val="14"/>
  </w:num>
  <w:num w:numId="15">
    <w:abstractNumId w:val="1"/>
  </w:num>
  <w:num w:numId="16">
    <w:abstractNumId w:val="41"/>
  </w:num>
  <w:num w:numId="17">
    <w:abstractNumId w:val="36"/>
  </w:num>
  <w:num w:numId="18">
    <w:abstractNumId w:val="12"/>
  </w:num>
  <w:num w:numId="19">
    <w:abstractNumId w:val="39"/>
  </w:num>
  <w:num w:numId="20">
    <w:abstractNumId w:val="15"/>
  </w:num>
  <w:num w:numId="21">
    <w:abstractNumId w:val="22"/>
  </w:num>
  <w:num w:numId="22">
    <w:abstractNumId w:val="21"/>
  </w:num>
  <w:num w:numId="23">
    <w:abstractNumId w:val="44"/>
  </w:num>
  <w:num w:numId="24">
    <w:abstractNumId w:val="42"/>
  </w:num>
  <w:num w:numId="25">
    <w:abstractNumId w:val="0"/>
  </w:num>
  <w:num w:numId="26">
    <w:abstractNumId w:val="40"/>
  </w:num>
  <w:num w:numId="27">
    <w:abstractNumId w:val="32"/>
  </w:num>
  <w:num w:numId="28">
    <w:abstractNumId w:val="34"/>
  </w:num>
  <w:num w:numId="29">
    <w:abstractNumId w:val="31"/>
  </w:num>
  <w:num w:numId="30">
    <w:abstractNumId w:val="2"/>
  </w:num>
  <w:num w:numId="31">
    <w:abstractNumId w:val="18"/>
  </w:num>
  <w:num w:numId="32">
    <w:abstractNumId w:val="35"/>
  </w:num>
  <w:num w:numId="33">
    <w:abstractNumId w:val="43"/>
  </w:num>
  <w:num w:numId="34">
    <w:abstractNumId w:val="6"/>
  </w:num>
  <w:num w:numId="35">
    <w:abstractNumId w:val="38"/>
  </w:num>
  <w:num w:numId="36">
    <w:abstractNumId w:val="20"/>
  </w:num>
  <w:num w:numId="37">
    <w:abstractNumId w:val="13"/>
  </w:num>
  <w:num w:numId="38">
    <w:abstractNumId w:val="28"/>
  </w:num>
  <w:num w:numId="39">
    <w:abstractNumId w:val="16"/>
  </w:num>
  <w:num w:numId="40">
    <w:abstractNumId w:val="23"/>
  </w:num>
  <w:num w:numId="41">
    <w:abstractNumId w:val="5"/>
  </w:num>
  <w:num w:numId="42">
    <w:abstractNumId w:val="4"/>
  </w:num>
  <w:num w:numId="43">
    <w:abstractNumId w:val="3"/>
  </w:num>
  <w:num w:numId="44">
    <w:abstractNumId w:val="30"/>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9D1752"/>
    <w:rsid w:val="000016A8"/>
    <w:rsid w:val="00001B01"/>
    <w:rsid w:val="00001B40"/>
    <w:rsid w:val="00001D82"/>
    <w:rsid w:val="00001E2F"/>
    <w:rsid w:val="00002014"/>
    <w:rsid w:val="00002126"/>
    <w:rsid w:val="00003319"/>
    <w:rsid w:val="00004579"/>
    <w:rsid w:val="00004694"/>
    <w:rsid w:val="00004B48"/>
    <w:rsid w:val="00004C62"/>
    <w:rsid w:val="00004DC9"/>
    <w:rsid w:val="00005041"/>
    <w:rsid w:val="00005B82"/>
    <w:rsid w:val="0000605F"/>
    <w:rsid w:val="0000621D"/>
    <w:rsid w:val="0000647B"/>
    <w:rsid w:val="000065DC"/>
    <w:rsid w:val="00006A4F"/>
    <w:rsid w:val="00007415"/>
    <w:rsid w:val="00007936"/>
    <w:rsid w:val="0001045E"/>
    <w:rsid w:val="00010F71"/>
    <w:rsid w:val="000115D9"/>
    <w:rsid w:val="00011879"/>
    <w:rsid w:val="00011A0A"/>
    <w:rsid w:val="0001295C"/>
    <w:rsid w:val="00012E42"/>
    <w:rsid w:val="00013210"/>
    <w:rsid w:val="000133BF"/>
    <w:rsid w:val="000153D7"/>
    <w:rsid w:val="00016572"/>
    <w:rsid w:val="00016E56"/>
    <w:rsid w:val="00017267"/>
    <w:rsid w:val="00017EDB"/>
    <w:rsid w:val="00020961"/>
    <w:rsid w:val="00020C8B"/>
    <w:rsid w:val="0002137C"/>
    <w:rsid w:val="000223BD"/>
    <w:rsid w:val="00022E21"/>
    <w:rsid w:val="00023A60"/>
    <w:rsid w:val="00024C26"/>
    <w:rsid w:val="00025871"/>
    <w:rsid w:val="00025B04"/>
    <w:rsid w:val="00025EAD"/>
    <w:rsid w:val="00027250"/>
    <w:rsid w:val="00027E46"/>
    <w:rsid w:val="00031342"/>
    <w:rsid w:val="000314C0"/>
    <w:rsid w:val="00031E0B"/>
    <w:rsid w:val="00032157"/>
    <w:rsid w:val="00032757"/>
    <w:rsid w:val="00032CFE"/>
    <w:rsid w:val="00032FC8"/>
    <w:rsid w:val="00033829"/>
    <w:rsid w:val="00033C28"/>
    <w:rsid w:val="00033C2E"/>
    <w:rsid w:val="0003693F"/>
    <w:rsid w:val="00036F15"/>
    <w:rsid w:val="000370DC"/>
    <w:rsid w:val="0003763E"/>
    <w:rsid w:val="00040295"/>
    <w:rsid w:val="00041003"/>
    <w:rsid w:val="0004172F"/>
    <w:rsid w:val="000458E7"/>
    <w:rsid w:val="00045B8A"/>
    <w:rsid w:val="000475D1"/>
    <w:rsid w:val="00050424"/>
    <w:rsid w:val="000512BC"/>
    <w:rsid w:val="0005247A"/>
    <w:rsid w:val="00054BB8"/>
    <w:rsid w:val="00055BC5"/>
    <w:rsid w:val="00061984"/>
    <w:rsid w:val="00064E25"/>
    <w:rsid w:val="00065484"/>
    <w:rsid w:val="00065707"/>
    <w:rsid w:val="00065B44"/>
    <w:rsid w:val="00065FC4"/>
    <w:rsid w:val="000668C3"/>
    <w:rsid w:val="00067FB1"/>
    <w:rsid w:val="00070D6C"/>
    <w:rsid w:val="00071F2A"/>
    <w:rsid w:val="00072C51"/>
    <w:rsid w:val="00073973"/>
    <w:rsid w:val="00074BE5"/>
    <w:rsid w:val="00074C83"/>
    <w:rsid w:val="00074CDA"/>
    <w:rsid w:val="00075AD4"/>
    <w:rsid w:val="0007600D"/>
    <w:rsid w:val="00076203"/>
    <w:rsid w:val="00076356"/>
    <w:rsid w:val="000763E9"/>
    <w:rsid w:val="00076CDC"/>
    <w:rsid w:val="00077660"/>
    <w:rsid w:val="00080BE8"/>
    <w:rsid w:val="00080EBC"/>
    <w:rsid w:val="00081572"/>
    <w:rsid w:val="00082B80"/>
    <w:rsid w:val="00083E58"/>
    <w:rsid w:val="00084D08"/>
    <w:rsid w:val="000865BB"/>
    <w:rsid w:val="00086B2F"/>
    <w:rsid w:val="00086F6E"/>
    <w:rsid w:val="00087E98"/>
    <w:rsid w:val="00090702"/>
    <w:rsid w:val="0009087C"/>
    <w:rsid w:val="00092AD6"/>
    <w:rsid w:val="00092B96"/>
    <w:rsid w:val="00093C9B"/>
    <w:rsid w:val="000948DB"/>
    <w:rsid w:val="00095948"/>
    <w:rsid w:val="00095DBA"/>
    <w:rsid w:val="00096128"/>
    <w:rsid w:val="00096802"/>
    <w:rsid w:val="00096AA8"/>
    <w:rsid w:val="00096C91"/>
    <w:rsid w:val="000977B5"/>
    <w:rsid w:val="000A025D"/>
    <w:rsid w:val="000A045F"/>
    <w:rsid w:val="000A1FC9"/>
    <w:rsid w:val="000A2430"/>
    <w:rsid w:val="000A31F0"/>
    <w:rsid w:val="000A370E"/>
    <w:rsid w:val="000A3EDE"/>
    <w:rsid w:val="000A527A"/>
    <w:rsid w:val="000A5737"/>
    <w:rsid w:val="000A6F7A"/>
    <w:rsid w:val="000A754A"/>
    <w:rsid w:val="000B04CC"/>
    <w:rsid w:val="000B097F"/>
    <w:rsid w:val="000B0E90"/>
    <w:rsid w:val="000B214A"/>
    <w:rsid w:val="000B337A"/>
    <w:rsid w:val="000B3998"/>
    <w:rsid w:val="000B40E3"/>
    <w:rsid w:val="000B42A7"/>
    <w:rsid w:val="000B6307"/>
    <w:rsid w:val="000B6469"/>
    <w:rsid w:val="000B66B8"/>
    <w:rsid w:val="000C1045"/>
    <w:rsid w:val="000C1D89"/>
    <w:rsid w:val="000C2340"/>
    <w:rsid w:val="000C405A"/>
    <w:rsid w:val="000C4241"/>
    <w:rsid w:val="000C4FCD"/>
    <w:rsid w:val="000C6023"/>
    <w:rsid w:val="000C6ACC"/>
    <w:rsid w:val="000C75EE"/>
    <w:rsid w:val="000C7F70"/>
    <w:rsid w:val="000D06B2"/>
    <w:rsid w:val="000D1BD9"/>
    <w:rsid w:val="000D245D"/>
    <w:rsid w:val="000D30E1"/>
    <w:rsid w:val="000D3980"/>
    <w:rsid w:val="000D44D6"/>
    <w:rsid w:val="000D47F0"/>
    <w:rsid w:val="000D5076"/>
    <w:rsid w:val="000D50EE"/>
    <w:rsid w:val="000D5B61"/>
    <w:rsid w:val="000D72BA"/>
    <w:rsid w:val="000D7F17"/>
    <w:rsid w:val="000E040C"/>
    <w:rsid w:val="000E04BE"/>
    <w:rsid w:val="000E07A6"/>
    <w:rsid w:val="000E0BE3"/>
    <w:rsid w:val="000E17CD"/>
    <w:rsid w:val="000E23DC"/>
    <w:rsid w:val="000E360E"/>
    <w:rsid w:val="000E3F60"/>
    <w:rsid w:val="000E4425"/>
    <w:rsid w:val="000E4BC7"/>
    <w:rsid w:val="000E6641"/>
    <w:rsid w:val="000E67EC"/>
    <w:rsid w:val="000E6DB0"/>
    <w:rsid w:val="000E767D"/>
    <w:rsid w:val="000F00F2"/>
    <w:rsid w:val="000F0A87"/>
    <w:rsid w:val="000F0C61"/>
    <w:rsid w:val="000F153D"/>
    <w:rsid w:val="000F496A"/>
    <w:rsid w:val="000F5BC5"/>
    <w:rsid w:val="000F5F55"/>
    <w:rsid w:val="000F5FE0"/>
    <w:rsid w:val="000F621C"/>
    <w:rsid w:val="000F69CA"/>
    <w:rsid w:val="000F7CD2"/>
    <w:rsid w:val="00100060"/>
    <w:rsid w:val="001002B2"/>
    <w:rsid w:val="00100A37"/>
    <w:rsid w:val="00102D68"/>
    <w:rsid w:val="00103351"/>
    <w:rsid w:val="0010544E"/>
    <w:rsid w:val="00106705"/>
    <w:rsid w:val="00106ECF"/>
    <w:rsid w:val="00107132"/>
    <w:rsid w:val="00111233"/>
    <w:rsid w:val="00111BCB"/>
    <w:rsid w:val="00111D52"/>
    <w:rsid w:val="0011798F"/>
    <w:rsid w:val="0012185C"/>
    <w:rsid w:val="00121EBF"/>
    <w:rsid w:val="001246C6"/>
    <w:rsid w:val="00124B6D"/>
    <w:rsid w:val="00125453"/>
    <w:rsid w:val="00125A74"/>
    <w:rsid w:val="00130DFB"/>
    <w:rsid w:val="00132464"/>
    <w:rsid w:val="00132CDF"/>
    <w:rsid w:val="00132FDD"/>
    <w:rsid w:val="00133560"/>
    <w:rsid w:val="001370A1"/>
    <w:rsid w:val="00141903"/>
    <w:rsid w:val="0014196B"/>
    <w:rsid w:val="00141995"/>
    <w:rsid w:val="001432A7"/>
    <w:rsid w:val="001446BB"/>
    <w:rsid w:val="001447C0"/>
    <w:rsid w:val="00144D29"/>
    <w:rsid w:val="001459D7"/>
    <w:rsid w:val="00151D63"/>
    <w:rsid w:val="00152BC2"/>
    <w:rsid w:val="00153306"/>
    <w:rsid w:val="00155BAF"/>
    <w:rsid w:val="00160F46"/>
    <w:rsid w:val="00161699"/>
    <w:rsid w:val="0016176D"/>
    <w:rsid w:val="00162167"/>
    <w:rsid w:val="0016277D"/>
    <w:rsid w:val="00162850"/>
    <w:rsid w:val="00162AE2"/>
    <w:rsid w:val="00162C8D"/>
    <w:rsid w:val="00162CF8"/>
    <w:rsid w:val="00162EE9"/>
    <w:rsid w:val="0016328A"/>
    <w:rsid w:val="001632E5"/>
    <w:rsid w:val="0016534D"/>
    <w:rsid w:val="001669AB"/>
    <w:rsid w:val="001707D9"/>
    <w:rsid w:val="00170B28"/>
    <w:rsid w:val="00170DE4"/>
    <w:rsid w:val="001713B3"/>
    <w:rsid w:val="00171D1F"/>
    <w:rsid w:val="00172313"/>
    <w:rsid w:val="0017247D"/>
    <w:rsid w:val="001728C4"/>
    <w:rsid w:val="001737E9"/>
    <w:rsid w:val="001746C8"/>
    <w:rsid w:val="00174A44"/>
    <w:rsid w:val="00174A59"/>
    <w:rsid w:val="00175B7A"/>
    <w:rsid w:val="001773A8"/>
    <w:rsid w:val="001778C0"/>
    <w:rsid w:val="00181364"/>
    <w:rsid w:val="0018158C"/>
    <w:rsid w:val="00183955"/>
    <w:rsid w:val="001840D5"/>
    <w:rsid w:val="00184BBE"/>
    <w:rsid w:val="00184DEC"/>
    <w:rsid w:val="00185313"/>
    <w:rsid w:val="0018608D"/>
    <w:rsid w:val="00186440"/>
    <w:rsid w:val="00186D8A"/>
    <w:rsid w:val="0018728C"/>
    <w:rsid w:val="0018762B"/>
    <w:rsid w:val="0018762F"/>
    <w:rsid w:val="00187932"/>
    <w:rsid w:val="001907C4"/>
    <w:rsid w:val="00190E8C"/>
    <w:rsid w:val="0019138B"/>
    <w:rsid w:val="001918B9"/>
    <w:rsid w:val="00191F61"/>
    <w:rsid w:val="00193656"/>
    <w:rsid w:val="00193750"/>
    <w:rsid w:val="00193AAE"/>
    <w:rsid w:val="00194D87"/>
    <w:rsid w:val="00195419"/>
    <w:rsid w:val="001966F6"/>
    <w:rsid w:val="00197305"/>
    <w:rsid w:val="00197EE8"/>
    <w:rsid w:val="00197FE7"/>
    <w:rsid w:val="001A03B9"/>
    <w:rsid w:val="001A19E1"/>
    <w:rsid w:val="001A2FFD"/>
    <w:rsid w:val="001A3BC0"/>
    <w:rsid w:val="001A3FD9"/>
    <w:rsid w:val="001A4CAD"/>
    <w:rsid w:val="001A502D"/>
    <w:rsid w:val="001A624C"/>
    <w:rsid w:val="001A70E6"/>
    <w:rsid w:val="001A76DD"/>
    <w:rsid w:val="001B1C39"/>
    <w:rsid w:val="001B2445"/>
    <w:rsid w:val="001B268E"/>
    <w:rsid w:val="001B272A"/>
    <w:rsid w:val="001B42F0"/>
    <w:rsid w:val="001B6211"/>
    <w:rsid w:val="001B6278"/>
    <w:rsid w:val="001B64DA"/>
    <w:rsid w:val="001B733B"/>
    <w:rsid w:val="001B7FEF"/>
    <w:rsid w:val="001C5022"/>
    <w:rsid w:val="001C5A58"/>
    <w:rsid w:val="001C61AA"/>
    <w:rsid w:val="001D0329"/>
    <w:rsid w:val="001D12F0"/>
    <w:rsid w:val="001D18D7"/>
    <w:rsid w:val="001D2A99"/>
    <w:rsid w:val="001D41FF"/>
    <w:rsid w:val="001D4E0F"/>
    <w:rsid w:val="001D52BF"/>
    <w:rsid w:val="001D6044"/>
    <w:rsid w:val="001D6694"/>
    <w:rsid w:val="001D6ADE"/>
    <w:rsid w:val="001D7062"/>
    <w:rsid w:val="001D75DD"/>
    <w:rsid w:val="001D793A"/>
    <w:rsid w:val="001E02F4"/>
    <w:rsid w:val="001E06AC"/>
    <w:rsid w:val="001E0913"/>
    <w:rsid w:val="001E109B"/>
    <w:rsid w:val="001E187F"/>
    <w:rsid w:val="001E22FD"/>
    <w:rsid w:val="001E2326"/>
    <w:rsid w:val="001E612C"/>
    <w:rsid w:val="001E6183"/>
    <w:rsid w:val="001E6E93"/>
    <w:rsid w:val="001E7074"/>
    <w:rsid w:val="001F024D"/>
    <w:rsid w:val="001F0434"/>
    <w:rsid w:val="001F072D"/>
    <w:rsid w:val="001F1134"/>
    <w:rsid w:val="001F2A35"/>
    <w:rsid w:val="001F2F89"/>
    <w:rsid w:val="001F5051"/>
    <w:rsid w:val="001F55B0"/>
    <w:rsid w:val="001F5DAA"/>
    <w:rsid w:val="001F7228"/>
    <w:rsid w:val="001F75A7"/>
    <w:rsid w:val="001F7AA5"/>
    <w:rsid w:val="0020110D"/>
    <w:rsid w:val="00201708"/>
    <w:rsid w:val="002018A5"/>
    <w:rsid w:val="00203F5F"/>
    <w:rsid w:val="002070C3"/>
    <w:rsid w:val="00207535"/>
    <w:rsid w:val="002076D4"/>
    <w:rsid w:val="00207E7F"/>
    <w:rsid w:val="0021081B"/>
    <w:rsid w:val="00211355"/>
    <w:rsid w:val="002119D9"/>
    <w:rsid w:val="00213565"/>
    <w:rsid w:val="00213649"/>
    <w:rsid w:val="002152C4"/>
    <w:rsid w:val="00217108"/>
    <w:rsid w:val="00217F41"/>
    <w:rsid w:val="00217F74"/>
    <w:rsid w:val="00220BBA"/>
    <w:rsid w:val="00220E86"/>
    <w:rsid w:val="002219CF"/>
    <w:rsid w:val="00223FC4"/>
    <w:rsid w:val="00224B61"/>
    <w:rsid w:val="00224E94"/>
    <w:rsid w:val="002252A0"/>
    <w:rsid w:val="002254E5"/>
    <w:rsid w:val="00226F2A"/>
    <w:rsid w:val="0023030C"/>
    <w:rsid w:val="00230B5E"/>
    <w:rsid w:val="00230FB1"/>
    <w:rsid w:val="00232212"/>
    <w:rsid w:val="00233B97"/>
    <w:rsid w:val="002346B0"/>
    <w:rsid w:val="0023488C"/>
    <w:rsid w:val="00235722"/>
    <w:rsid w:val="00235723"/>
    <w:rsid w:val="002357C9"/>
    <w:rsid w:val="00235C4C"/>
    <w:rsid w:val="002367DC"/>
    <w:rsid w:val="0023702F"/>
    <w:rsid w:val="00237217"/>
    <w:rsid w:val="00237786"/>
    <w:rsid w:val="00240853"/>
    <w:rsid w:val="00242620"/>
    <w:rsid w:val="00243632"/>
    <w:rsid w:val="00243A8A"/>
    <w:rsid w:val="00243E6B"/>
    <w:rsid w:val="00245833"/>
    <w:rsid w:val="00245983"/>
    <w:rsid w:val="00246369"/>
    <w:rsid w:val="002517C6"/>
    <w:rsid w:val="00252436"/>
    <w:rsid w:val="0025359E"/>
    <w:rsid w:val="00253FB4"/>
    <w:rsid w:val="0025473C"/>
    <w:rsid w:val="00256323"/>
    <w:rsid w:val="00256387"/>
    <w:rsid w:val="0025688F"/>
    <w:rsid w:val="0026063B"/>
    <w:rsid w:val="00261A43"/>
    <w:rsid w:val="00261A76"/>
    <w:rsid w:val="00262475"/>
    <w:rsid w:val="0026275B"/>
    <w:rsid w:val="0026287E"/>
    <w:rsid w:val="00263217"/>
    <w:rsid w:val="0026325A"/>
    <w:rsid w:val="00263A47"/>
    <w:rsid w:val="002645D5"/>
    <w:rsid w:val="00264EC2"/>
    <w:rsid w:val="00264ED8"/>
    <w:rsid w:val="00265A9B"/>
    <w:rsid w:val="00265E3F"/>
    <w:rsid w:val="00266F39"/>
    <w:rsid w:val="00267216"/>
    <w:rsid w:val="002675D8"/>
    <w:rsid w:val="00267764"/>
    <w:rsid w:val="00270220"/>
    <w:rsid w:val="00270226"/>
    <w:rsid w:val="002703B2"/>
    <w:rsid w:val="002708A4"/>
    <w:rsid w:val="00273442"/>
    <w:rsid w:val="002738E8"/>
    <w:rsid w:val="00273A89"/>
    <w:rsid w:val="00273C5F"/>
    <w:rsid w:val="002742A5"/>
    <w:rsid w:val="002756EE"/>
    <w:rsid w:val="0027635A"/>
    <w:rsid w:val="00276752"/>
    <w:rsid w:val="0027745D"/>
    <w:rsid w:val="00281281"/>
    <w:rsid w:val="002815FB"/>
    <w:rsid w:val="00282AC8"/>
    <w:rsid w:val="00282FEE"/>
    <w:rsid w:val="002854A7"/>
    <w:rsid w:val="002855A3"/>
    <w:rsid w:val="002856A7"/>
    <w:rsid w:val="00285D37"/>
    <w:rsid w:val="00285FA6"/>
    <w:rsid w:val="00286ABE"/>
    <w:rsid w:val="00287789"/>
    <w:rsid w:val="00287854"/>
    <w:rsid w:val="00287CCD"/>
    <w:rsid w:val="0029009F"/>
    <w:rsid w:val="00290B0C"/>
    <w:rsid w:val="00290E12"/>
    <w:rsid w:val="00291148"/>
    <w:rsid w:val="00291ABF"/>
    <w:rsid w:val="00292197"/>
    <w:rsid w:val="00292864"/>
    <w:rsid w:val="002928F7"/>
    <w:rsid w:val="00292B4A"/>
    <w:rsid w:val="0029376C"/>
    <w:rsid w:val="0029387F"/>
    <w:rsid w:val="002938C5"/>
    <w:rsid w:val="00293B64"/>
    <w:rsid w:val="00293E6E"/>
    <w:rsid w:val="002942AC"/>
    <w:rsid w:val="00294431"/>
    <w:rsid w:val="00294E97"/>
    <w:rsid w:val="00295E5E"/>
    <w:rsid w:val="002960DC"/>
    <w:rsid w:val="00296D2C"/>
    <w:rsid w:val="00296DB6"/>
    <w:rsid w:val="002973EA"/>
    <w:rsid w:val="0029748F"/>
    <w:rsid w:val="002974CD"/>
    <w:rsid w:val="002975A1"/>
    <w:rsid w:val="002979FE"/>
    <w:rsid w:val="002A039B"/>
    <w:rsid w:val="002A0FCF"/>
    <w:rsid w:val="002A1CAD"/>
    <w:rsid w:val="002A1ED0"/>
    <w:rsid w:val="002A339C"/>
    <w:rsid w:val="002A3492"/>
    <w:rsid w:val="002A3722"/>
    <w:rsid w:val="002A3AA0"/>
    <w:rsid w:val="002A73DC"/>
    <w:rsid w:val="002A7798"/>
    <w:rsid w:val="002A792C"/>
    <w:rsid w:val="002A7D0E"/>
    <w:rsid w:val="002B0D31"/>
    <w:rsid w:val="002B145B"/>
    <w:rsid w:val="002B36A0"/>
    <w:rsid w:val="002B59C1"/>
    <w:rsid w:val="002B61B4"/>
    <w:rsid w:val="002B6DC4"/>
    <w:rsid w:val="002B72AD"/>
    <w:rsid w:val="002B72E5"/>
    <w:rsid w:val="002B7420"/>
    <w:rsid w:val="002B7EE8"/>
    <w:rsid w:val="002C07F3"/>
    <w:rsid w:val="002C0DE2"/>
    <w:rsid w:val="002C0EE9"/>
    <w:rsid w:val="002C2225"/>
    <w:rsid w:val="002C54C1"/>
    <w:rsid w:val="002C64F0"/>
    <w:rsid w:val="002C6D1A"/>
    <w:rsid w:val="002C70BE"/>
    <w:rsid w:val="002C7536"/>
    <w:rsid w:val="002C7552"/>
    <w:rsid w:val="002D0DBA"/>
    <w:rsid w:val="002D120D"/>
    <w:rsid w:val="002D25BB"/>
    <w:rsid w:val="002D2B49"/>
    <w:rsid w:val="002D3153"/>
    <w:rsid w:val="002D362C"/>
    <w:rsid w:val="002D4087"/>
    <w:rsid w:val="002D4440"/>
    <w:rsid w:val="002D480E"/>
    <w:rsid w:val="002D52CD"/>
    <w:rsid w:val="002D6401"/>
    <w:rsid w:val="002D673A"/>
    <w:rsid w:val="002D6A1B"/>
    <w:rsid w:val="002D6D1D"/>
    <w:rsid w:val="002D6F28"/>
    <w:rsid w:val="002D73FE"/>
    <w:rsid w:val="002E0683"/>
    <w:rsid w:val="002E082A"/>
    <w:rsid w:val="002E0E68"/>
    <w:rsid w:val="002E116B"/>
    <w:rsid w:val="002E15AC"/>
    <w:rsid w:val="002E21F9"/>
    <w:rsid w:val="002E23D2"/>
    <w:rsid w:val="002E28E0"/>
    <w:rsid w:val="002E2CD8"/>
    <w:rsid w:val="002E4E7B"/>
    <w:rsid w:val="002E5FE0"/>
    <w:rsid w:val="002E6072"/>
    <w:rsid w:val="002E6133"/>
    <w:rsid w:val="002E77E9"/>
    <w:rsid w:val="002E7C03"/>
    <w:rsid w:val="002E7EFE"/>
    <w:rsid w:val="002F1796"/>
    <w:rsid w:val="002F2EEF"/>
    <w:rsid w:val="002F38AA"/>
    <w:rsid w:val="002F4149"/>
    <w:rsid w:val="002F4198"/>
    <w:rsid w:val="002F4F1C"/>
    <w:rsid w:val="002F561B"/>
    <w:rsid w:val="002F5B1C"/>
    <w:rsid w:val="002F5D0D"/>
    <w:rsid w:val="00300006"/>
    <w:rsid w:val="00300097"/>
    <w:rsid w:val="00300E31"/>
    <w:rsid w:val="00301624"/>
    <w:rsid w:val="00301E85"/>
    <w:rsid w:val="00301E97"/>
    <w:rsid w:val="00301EAB"/>
    <w:rsid w:val="00302B48"/>
    <w:rsid w:val="00302B5F"/>
    <w:rsid w:val="00303013"/>
    <w:rsid w:val="00303F35"/>
    <w:rsid w:val="003054A2"/>
    <w:rsid w:val="003062D3"/>
    <w:rsid w:val="0031088C"/>
    <w:rsid w:val="00310DF7"/>
    <w:rsid w:val="00311D40"/>
    <w:rsid w:val="00313750"/>
    <w:rsid w:val="00313A14"/>
    <w:rsid w:val="00313D0D"/>
    <w:rsid w:val="0031416A"/>
    <w:rsid w:val="00314590"/>
    <w:rsid w:val="003160B7"/>
    <w:rsid w:val="00317BA1"/>
    <w:rsid w:val="00320594"/>
    <w:rsid w:val="003210CD"/>
    <w:rsid w:val="00321498"/>
    <w:rsid w:val="00321B59"/>
    <w:rsid w:val="00322105"/>
    <w:rsid w:val="0032271E"/>
    <w:rsid w:val="00323FCC"/>
    <w:rsid w:val="003242EB"/>
    <w:rsid w:val="00325ACC"/>
    <w:rsid w:val="00326028"/>
    <w:rsid w:val="003300E1"/>
    <w:rsid w:val="00330164"/>
    <w:rsid w:val="00330A2E"/>
    <w:rsid w:val="003319C2"/>
    <w:rsid w:val="00333A21"/>
    <w:rsid w:val="00333EC0"/>
    <w:rsid w:val="003349A4"/>
    <w:rsid w:val="00337FB1"/>
    <w:rsid w:val="00337FB9"/>
    <w:rsid w:val="00341520"/>
    <w:rsid w:val="0034171E"/>
    <w:rsid w:val="00343D17"/>
    <w:rsid w:val="003444D9"/>
    <w:rsid w:val="00344C15"/>
    <w:rsid w:val="00346FB5"/>
    <w:rsid w:val="003472E2"/>
    <w:rsid w:val="003474DB"/>
    <w:rsid w:val="003502A2"/>
    <w:rsid w:val="003525E9"/>
    <w:rsid w:val="00352F2C"/>
    <w:rsid w:val="003531A9"/>
    <w:rsid w:val="0035486E"/>
    <w:rsid w:val="003549B5"/>
    <w:rsid w:val="0035643D"/>
    <w:rsid w:val="00356592"/>
    <w:rsid w:val="00356FD7"/>
    <w:rsid w:val="00357C9F"/>
    <w:rsid w:val="00360FB3"/>
    <w:rsid w:val="003619D8"/>
    <w:rsid w:val="003619E4"/>
    <w:rsid w:val="00361DB2"/>
    <w:rsid w:val="0036320A"/>
    <w:rsid w:val="00363489"/>
    <w:rsid w:val="00364042"/>
    <w:rsid w:val="00364066"/>
    <w:rsid w:val="003656E5"/>
    <w:rsid w:val="00365B27"/>
    <w:rsid w:val="00366EB0"/>
    <w:rsid w:val="0036718E"/>
    <w:rsid w:val="003704C3"/>
    <w:rsid w:val="00370E31"/>
    <w:rsid w:val="00372ACE"/>
    <w:rsid w:val="00373479"/>
    <w:rsid w:val="00374102"/>
    <w:rsid w:val="00374E23"/>
    <w:rsid w:val="00374FFF"/>
    <w:rsid w:val="003756E0"/>
    <w:rsid w:val="00375D3C"/>
    <w:rsid w:val="00375D5C"/>
    <w:rsid w:val="0037743F"/>
    <w:rsid w:val="00377662"/>
    <w:rsid w:val="00380729"/>
    <w:rsid w:val="003812C2"/>
    <w:rsid w:val="00381956"/>
    <w:rsid w:val="003837FA"/>
    <w:rsid w:val="0038522F"/>
    <w:rsid w:val="0038614F"/>
    <w:rsid w:val="00387F70"/>
    <w:rsid w:val="0039051C"/>
    <w:rsid w:val="00391364"/>
    <w:rsid w:val="00391660"/>
    <w:rsid w:val="00392378"/>
    <w:rsid w:val="00393135"/>
    <w:rsid w:val="00393926"/>
    <w:rsid w:val="00395979"/>
    <w:rsid w:val="0039647B"/>
    <w:rsid w:val="00397233"/>
    <w:rsid w:val="003A0350"/>
    <w:rsid w:val="003A106B"/>
    <w:rsid w:val="003A115F"/>
    <w:rsid w:val="003A3D66"/>
    <w:rsid w:val="003A3F01"/>
    <w:rsid w:val="003A60F3"/>
    <w:rsid w:val="003A6C82"/>
    <w:rsid w:val="003A766E"/>
    <w:rsid w:val="003B01B2"/>
    <w:rsid w:val="003B0FE5"/>
    <w:rsid w:val="003B12D6"/>
    <w:rsid w:val="003B29FD"/>
    <w:rsid w:val="003B2BB6"/>
    <w:rsid w:val="003B3DEB"/>
    <w:rsid w:val="003B3EED"/>
    <w:rsid w:val="003B4274"/>
    <w:rsid w:val="003B4C4B"/>
    <w:rsid w:val="003B557B"/>
    <w:rsid w:val="003B57C4"/>
    <w:rsid w:val="003B6CA3"/>
    <w:rsid w:val="003B6F03"/>
    <w:rsid w:val="003B73D0"/>
    <w:rsid w:val="003B7B3A"/>
    <w:rsid w:val="003C0155"/>
    <w:rsid w:val="003C01C1"/>
    <w:rsid w:val="003C023D"/>
    <w:rsid w:val="003C0909"/>
    <w:rsid w:val="003C0938"/>
    <w:rsid w:val="003C1174"/>
    <w:rsid w:val="003C12F8"/>
    <w:rsid w:val="003C14A9"/>
    <w:rsid w:val="003C1505"/>
    <w:rsid w:val="003C19F0"/>
    <w:rsid w:val="003C1ACF"/>
    <w:rsid w:val="003C2135"/>
    <w:rsid w:val="003C43F0"/>
    <w:rsid w:val="003C6068"/>
    <w:rsid w:val="003C6C55"/>
    <w:rsid w:val="003C6E42"/>
    <w:rsid w:val="003C75CF"/>
    <w:rsid w:val="003C7873"/>
    <w:rsid w:val="003C7A4C"/>
    <w:rsid w:val="003D1E4F"/>
    <w:rsid w:val="003D267B"/>
    <w:rsid w:val="003D304F"/>
    <w:rsid w:val="003D3057"/>
    <w:rsid w:val="003D42DB"/>
    <w:rsid w:val="003D4BDB"/>
    <w:rsid w:val="003D4D2B"/>
    <w:rsid w:val="003D6B76"/>
    <w:rsid w:val="003E00AC"/>
    <w:rsid w:val="003E0ADA"/>
    <w:rsid w:val="003E0CF8"/>
    <w:rsid w:val="003E4C8E"/>
    <w:rsid w:val="003E4D03"/>
    <w:rsid w:val="003E598F"/>
    <w:rsid w:val="003E6A75"/>
    <w:rsid w:val="003F0FA5"/>
    <w:rsid w:val="003F18C9"/>
    <w:rsid w:val="003F2C41"/>
    <w:rsid w:val="003F5C0B"/>
    <w:rsid w:val="003F787B"/>
    <w:rsid w:val="00400E6A"/>
    <w:rsid w:val="00401D80"/>
    <w:rsid w:val="00401E4D"/>
    <w:rsid w:val="00402951"/>
    <w:rsid w:val="00402B16"/>
    <w:rsid w:val="00402E47"/>
    <w:rsid w:val="0040305B"/>
    <w:rsid w:val="00403A64"/>
    <w:rsid w:val="00403B05"/>
    <w:rsid w:val="00403EEF"/>
    <w:rsid w:val="00404F87"/>
    <w:rsid w:val="0040707C"/>
    <w:rsid w:val="00407DF5"/>
    <w:rsid w:val="00410E5D"/>
    <w:rsid w:val="004116B3"/>
    <w:rsid w:val="00411F43"/>
    <w:rsid w:val="004123CA"/>
    <w:rsid w:val="004129F2"/>
    <w:rsid w:val="00414181"/>
    <w:rsid w:val="00415715"/>
    <w:rsid w:val="00415902"/>
    <w:rsid w:val="00415B6B"/>
    <w:rsid w:val="00416D8B"/>
    <w:rsid w:val="0041714B"/>
    <w:rsid w:val="00417A18"/>
    <w:rsid w:val="0042011D"/>
    <w:rsid w:val="00420A51"/>
    <w:rsid w:val="00422C65"/>
    <w:rsid w:val="00422CA2"/>
    <w:rsid w:val="00422E30"/>
    <w:rsid w:val="0042485C"/>
    <w:rsid w:val="00424C22"/>
    <w:rsid w:val="004251DA"/>
    <w:rsid w:val="004253D7"/>
    <w:rsid w:val="00425887"/>
    <w:rsid w:val="00426471"/>
    <w:rsid w:val="004268AF"/>
    <w:rsid w:val="00426F03"/>
    <w:rsid w:val="00427392"/>
    <w:rsid w:val="00427EEB"/>
    <w:rsid w:val="00431DB4"/>
    <w:rsid w:val="00432174"/>
    <w:rsid w:val="004358A2"/>
    <w:rsid w:val="00436270"/>
    <w:rsid w:val="0043659E"/>
    <w:rsid w:val="00437E80"/>
    <w:rsid w:val="0044103B"/>
    <w:rsid w:val="00441367"/>
    <w:rsid w:val="00442317"/>
    <w:rsid w:val="004426C4"/>
    <w:rsid w:val="00443363"/>
    <w:rsid w:val="00443429"/>
    <w:rsid w:val="00443543"/>
    <w:rsid w:val="00443966"/>
    <w:rsid w:val="004439CF"/>
    <w:rsid w:val="00443CB7"/>
    <w:rsid w:val="00443F33"/>
    <w:rsid w:val="0044522C"/>
    <w:rsid w:val="004452EF"/>
    <w:rsid w:val="0044602D"/>
    <w:rsid w:val="00446F04"/>
    <w:rsid w:val="0045068B"/>
    <w:rsid w:val="00451470"/>
    <w:rsid w:val="004519A3"/>
    <w:rsid w:val="00452C60"/>
    <w:rsid w:val="00453775"/>
    <w:rsid w:val="00453AF7"/>
    <w:rsid w:val="00454199"/>
    <w:rsid w:val="00454E44"/>
    <w:rsid w:val="00455A37"/>
    <w:rsid w:val="00455FD1"/>
    <w:rsid w:val="00456026"/>
    <w:rsid w:val="00456382"/>
    <w:rsid w:val="004567EE"/>
    <w:rsid w:val="004571AE"/>
    <w:rsid w:val="00460D5F"/>
    <w:rsid w:val="0046259A"/>
    <w:rsid w:val="004628EF"/>
    <w:rsid w:val="0046307F"/>
    <w:rsid w:val="00463C60"/>
    <w:rsid w:val="004640CB"/>
    <w:rsid w:val="0046476E"/>
    <w:rsid w:val="0046524D"/>
    <w:rsid w:val="00466311"/>
    <w:rsid w:val="004668C7"/>
    <w:rsid w:val="004668D7"/>
    <w:rsid w:val="00467888"/>
    <w:rsid w:val="00470432"/>
    <w:rsid w:val="004708BC"/>
    <w:rsid w:val="00471151"/>
    <w:rsid w:val="00471A80"/>
    <w:rsid w:val="00474967"/>
    <w:rsid w:val="00474ED4"/>
    <w:rsid w:val="00475C07"/>
    <w:rsid w:val="004768C8"/>
    <w:rsid w:val="004817C8"/>
    <w:rsid w:val="00481C3D"/>
    <w:rsid w:val="00481E15"/>
    <w:rsid w:val="00482476"/>
    <w:rsid w:val="004840D5"/>
    <w:rsid w:val="00484D67"/>
    <w:rsid w:val="00485C2E"/>
    <w:rsid w:val="004867E3"/>
    <w:rsid w:val="0048689D"/>
    <w:rsid w:val="00486ACF"/>
    <w:rsid w:val="004871F7"/>
    <w:rsid w:val="00491BCC"/>
    <w:rsid w:val="0049426A"/>
    <w:rsid w:val="004964CA"/>
    <w:rsid w:val="00496EA4"/>
    <w:rsid w:val="00497065"/>
    <w:rsid w:val="004A0FCD"/>
    <w:rsid w:val="004A1E60"/>
    <w:rsid w:val="004A2177"/>
    <w:rsid w:val="004A226A"/>
    <w:rsid w:val="004A27C6"/>
    <w:rsid w:val="004A34AC"/>
    <w:rsid w:val="004A49F1"/>
    <w:rsid w:val="004A60EA"/>
    <w:rsid w:val="004A691B"/>
    <w:rsid w:val="004A7F87"/>
    <w:rsid w:val="004B046D"/>
    <w:rsid w:val="004B1DFB"/>
    <w:rsid w:val="004B2736"/>
    <w:rsid w:val="004B2D2D"/>
    <w:rsid w:val="004B2E2A"/>
    <w:rsid w:val="004B2E70"/>
    <w:rsid w:val="004B4BA3"/>
    <w:rsid w:val="004B4EB6"/>
    <w:rsid w:val="004B59C7"/>
    <w:rsid w:val="004B6586"/>
    <w:rsid w:val="004C00C2"/>
    <w:rsid w:val="004C0217"/>
    <w:rsid w:val="004C0BC3"/>
    <w:rsid w:val="004C1697"/>
    <w:rsid w:val="004C2144"/>
    <w:rsid w:val="004C2496"/>
    <w:rsid w:val="004C3016"/>
    <w:rsid w:val="004C3C42"/>
    <w:rsid w:val="004C3C53"/>
    <w:rsid w:val="004C43B4"/>
    <w:rsid w:val="004C46D8"/>
    <w:rsid w:val="004C4A0D"/>
    <w:rsid w:val="004C4AB1"/>
    <w:rsid w:val="004C4DCF"/>
    <w:rsid w:val="004C5E24"/>
    <w:rsid w:val="004C663F"/>
    <w:rsid w:val="004C7253"/>
    <w:rsid w:val="004C7664"/>
    <w:rsid w:val="004D003C"/>
    <w:rsid w:val="004D0467"/>
    <w:rsid w:val="004D07F8"/>
    <w:rsid w:val="004D0AC8"/>
    <w:rsid w:val="004D1B73"/>
    <w:rsid w:val="004D336B"/>
    <w:rsid w:val="004D3F71"/>
    <w:rsid w:val="004D412A"/>
    <w:rsid w:val="004D427D"/>
    <w:rsid w:val="004D48F8"/>
    <w:rsid w:val="004D49B5"/>
    <w:rsid w:val="004D4CE5"/>
    <w:rsid w:val="004D630B"/>
    <w:rsid w:val="004D6D74"/>
    <w:rsid w:val="004D72B2"/>
    <w:rsid w:val="004D75BE"/>
    <w:rsid w:val="004D75E6"/>
    <w:rsid w:val="004D77F3"/>
    <w:rsid w:val="004E0526"/>
    <w:rsid w:val="004E239B"/>
    <w:rsid w:val="004E37F5"/>
    <w:rsid w:val="004E4354"/>
    <w:rsid w:val="004E45D6"/>
    <w:rsid w:val="004E5DE5"/>
    <w:rsid w:val="004E5F56"/>
    <w:rsid w:val="004E71BA"/>
    <w:rsid w:val="004E7326"/>
    <w:rsid w:val="004E76D2"/>
    <w:rsid w:val="004F013A"/>
    <w:rsid w:val="004F086D"/>
    <w:rsid w:val="004F1169"/>
    <w:rsid w:val="004F2564"/>
    <w:rsid w:val="004F25CC"/>
    <w:rsid w:val="004F2B4F"/>
    <w:rsid w:val="004F3049"/>
    <w:rsid w:val="004F3B25"/>
    <w:rsid w:val="004F4844"/>
    <w:rsid w:val="004F5A6A"/>
    <w:rsid w:val="004F5F8E"/>
    <w:rsid w:val="004F6594"/>
    <w:rsid w:val="004F7528"/>
    <w:rsid w:val="004F7605"/>
    <w:rsid w:val="004F7687"/>
    <w:rsid w:val="004F7CDD"/>
    <w:rsid w:val="005011B6"/>
    <w:rsid w:val="00502E33"/>
    <w:rsid w:val="00503E8B"/>
    <w:rsid w:val="00504758"/>
    <w:rsid w:val="00504E80"/>
    <w:rsid w:val="00505D55"/>
    <w:rsid w:val="00507131"/>
    <w:rsid w:val="005072FA"/>
    <w:rsid w:val="005077DD"/>
    <w:rsid w:val="005079F2"/>
    <w:rsid w:val="00507BCE"/>
    <w:rsid w:val="00511AEB"/>
    <w:rsid w:val="00511F66"/>
    <w:rsid w:val="005124A2"/>
    <w:rsid w:val="0051258F"/>
    <w:rsid w:val="005128A0"/>
    <w:rsid w:val="00513344"/>
    <w:rsid w:val="00513F15"/>
    <w:rsid w:val="005140AA"/>
    <w:rsid w:val="0051456C"/>
    <w:rsid w:val="005147F9"/>
    <w:rsid w:val="00516E22"/>
    <w:rsid w:val="0052063E"/>
    <w:rsid w:val="00521CE6"/>
    <w:rsid w:val="00522882"/>
    <w:rsid w:val="00522C49"/>
    <w:rsid w:val="00523527"/>
    <w:rsid w:val="0052379B"/>
    <w:rsid w:val="0052390A"/>
    <w:rsid w:val="00523A25"/>
    <w:rsid w:val="00524642"/>
    <w:rsid w:val="00524F4E"/>
    <w:rsid w:val="00526201"/>
    <w:rsid w:val="0052638E"/>
    <w:rsid w:val="0052668D"/>
    <w:rsid w:val="00526FBB"/>
    <w:rsid w:val="00527AC0"/>
    <w:rsid w:val="00527C7E"/>
    <w:rsid w:val="00527CBC"/>
    <w:rsid w:val="00530765"/>
    <w:rsid w:val="005307E0"/>
    <w:rsid w:val="005312C2"/>
    <w:rsid w:val="0053162E"/>
    <w:rsid w:val="0053252F"/>
    <w:rsid w:val="005339AC"/>
    <w:rsid w:val="005342D9"/>
    <w:rsid w:val="0053475F"/>
    <w:rsid w:val="00535510"/>
    <w:rsid w:val="005355F0"/>
    <w:rsid w:val="005368D5"/>
    <w:rsid w:val="00536C4F"/>
    <w:rsid w:val="00540BB7"/>
    <w:rsid w:val="00541560"/>
    <w:rsid w:val="00542834"/>
    <w:rsid w:val="00545AEB"/>
    <w:rsid w:val="005462E4"/>
    <w:rsid w:val="0054684B"/>
    <w:rsid w:val="00547425"/>
    <w:rsid w:val="00547D1A"/>
    <w:rsid w:val="00547FEC"/>
    <w:rsid w:val="005514E3"/>
    <w:rsid w:val="00552CF0"/>
    <w:rsid w:val="00553D93"/>
    <w:rsid w:val="005542B6"/>
    <w:rsid w:val="005545F8"/>
    <w:rsid w:val="00554A1D"/>
    <w:rsid w:val="0055562F"/>
    <w:rsid w:val="00555D77"/>
    <w:rsid w:val="00556996"/>
    <w:rsid w:val="00556C22"/>
    <w:rsid w:val="005600D8"/>
    <w:rsid w:val="00560622"/>
    <w:rsid w:val="00560D9F"/>
    <w:rsid w:val="0056100B"/>
    <w:rsid w:val="0056124C"/>
    <w:rsid w:val="005626EF"/>
    <w:rsid w:val="005641DA"/>
    <w:rsid w:val="0056474F"/>
    <w:rsid w:val="00565459"/>
    <w:rsid w:val="00566071"/>
    <w:rsid w:val="00566882"/>
    <w:rsid w:val="00566A4D"/>
    <w:rsid w:val="005712FE"/>
    <w:rsid w:val="00571C7B"/>
    <w:rsid w:val="00572437"/>
    <w:rsid w:val="005726D3"/>
    <w:rsid w:val="00572FA7"/>
    <w:rsid w:val="0057366A"/>
    <w:rsid w:val="00574D2C"/>
    <w:rsid w:val="0057583C"/>
    <w:rsid w:val="00575892"/>
    <w:rsid w:val="00577737"/>
    <w:rsid w:val="00580F3A"/>
    <w:rsid w:val="00581479"/>
    <w:rsid w:val="005814BC"/>
    <w:rsid w:val="00581607"/>
    <w:rsid w:val="00581819"/>
    <w:rsid w:val="00582139"/>
    <w:rsid w:val="005825CF"/>
    <w:rsid w:val="00582B14"/>
    <w:rsid w:val="00583AF8"/>
    <w:rsid w:val="00583CF1"/>
    <w:rsid w:val="00585373"/>
    <w:rsid w:val="00586518"/>
    <w:rsid w:val="00591459"/>
    <w:rsid w:val="00594AD3"/>
    <w:rsid w:val="00594B1C"/>
    <w:rsid w:val="00595027"/>
    <w:rsid w:val="005959F3"/>
    <w:rsid w:val="0059663C"/>
    <w:rsid w:val="0059696C"/>
    <w:rsid w:val="00596EC0"/>
    <w:rsid w:val="00597123"/>
    <w:rsid w:val="0059731E"/>
    <w:rsid w:val="00597ACD"/>
    <w:rsid w:val="005A049A"/>
    <w:rsid w:val="005A0E00"/>
    <w:rsid w:val="005A0FAD"/>
    <w:rsid w:val="005A1138"/>
    <w:rsid w:val="005A16A7"/>
    <w:rsid w:val="005A1E76"/>
    <w:rsid w:val="005A22C1"/>
    <w:rsid w:val="005A3C48"/>
    <w:rsid w:val="005A4451"/>
    <w:rsid w:val="005A4544"/>
    <w:rsid w:val="005A5631"/>
    <w:rsid w:val="005A708B"/>
    <w:rsid w:val="005A77F1"/>
    <w:rsid w:val="005B1424"/>
    <w:rsid w:val="005B143D"/>
    <w:rsid w:val="005B16A7"/>
    <w:rsid w:val="005B33ED"/>
    <w:rsid w:val="005B3ED5"/>
    <w:rsid w:val="005B5008"/>
    <w:rsid w:val="005B7DBD"/>
    <w:rsid w:val="005B7F21"/>
    <w:rsid w:val="005C0BC5"/>
    <w:rsid w:val="005C0C86"/>
    <w:rsid w:val="005C1CFF"/>
    <w:rsid w:val="005C2A51"/>
    <w:rsid w:val="005C3408"/>
    <w:rsid w:val="005C5473"/>
    <w:rsid w:val="005C6577"/>
    <w:rsid w:val="005C6A61"/>
    <w:rsid w:val="005C6A6E"/>
    <w:rsid w:val="005C709A"/>
    <w:rsid w:val="005C720A"/>
    <w:rsid w:val="005C7C7F"/>
    <w:rsid w:val="005C7D8E"/>
    <w:rsid w:val="005D11BB"/>
    <w:rsid w:val="005D151D"/>
    <w:rsid w:val="005D2EA3"/>
    <w:rsid w:val="005D3CCF"/>
    <w:rsid w:val="005D4060"/>
    <w:rsid w:val="005D41AD"/>
    <w:rsid w:val="005D5326"/>
    <w:rsid w:val="005D674A"/>
    <w:rsid w:val="005D7581"/>
    <w:rsid w:val="005E0376"/>
    <w:rsid w:val="005E07A2"/>
    <w:rsid w:val="005E11C1"/>
    <w:rsid w:val="005E1C22"/>
    <w:rsid w:val="005E25CF"/>
    <w:rsid w:val="005E4197"/>
    <w:rsid w:val="005E44A4"/>
    <w:rsid w:val="005E6D91"/>
    <w:rsid w:val="005F074B"/>
    <w:rsid w:val="005F1F82"/>
    <w:rsid w:val="005F3E5E"/>
    <w:rsid w:val="005F437A"/>
    <w:rsid w:val="005F4EA9"/>
    <w:rsid w:val="005F5510"/>
    <w:rsid w:val="005F5815"/>
    <w:rsid w:val="005F59CE"/>
    <w:rsid w:val="005F6628"/>
    <w:rsid w:val="005F6F2C"/>
    <w:rsid w:val="005F77DB"/>
    <w:rsid w:val="006008A9"/>
    <w:rsid w:val="006038D1"/>
    <w:rsid w:val="00604AEB"/>
    <w:rsid w:val="00605030"/>
    <w:rsid w:val="006053B2"/>
    <w:rsid w:val="00605B62"/>
    <w:rsid w:val="0060664E"/>
    <w:rsid w:val="00607470"/>
    <w:rsid w:val="00607B32"/>
    <w:rsid w:val="00610FE2"/>
    <w:rsid w:val="00611A38"/>
    <w:rsid w:val="006129C4"/>
    <w:rsid w:val="00613668"/>
    <w:rsid w:val="006146E5"/>
    <w:rsid w:val="00614B4D"/>
    <w:rsid w:val="00614CE1"/>
    <w:rsid w:val="00614F49"/>
    <w:rsid w:val="0061620C"/>
    <w:rsid w:val="006166E4"/>
    <w:rsid w:val="00616AC6"/>
    <w:rsid w:val="00616C90"/>
    <w:rsid w:val="006174DF"/>
    <w:rsid w:val="0062026D"/>
    <w:rsid w:val="00620289"/>
    <w:rsid w:val="00620847"/>
    <w:rsid w:val="00620A2D"/>
    <w:rsid w:val="006218C7"/>
    <w:rsid w:val="006219D2"/>
    <w:rsid w:val="00623331"/>
    <w:rsid w:val="00623D83"/>
    <w:rsid w:val="00624139"/>
    <w:rsid w:val="006270AF"/>
    <w:rsid w:val="00630276"/>
    <w:rsid w:val="0063112B"/>
    <w:rsid w:val="00631971"/>
    <w:rsid w:val="00632087"/>
    <w:rsid w:val="00634A92"/>
    <w:rsid w:val="00634D9A"/>
    <w:rsid w:val="00635CAA"/>
    <w:rsid w:val="00637103"/>
    <w:rsid w:val="00637963"/>
    <w:rsid w:val="006418F2"/>
    <w:rsid w:val="00641BFB"/>
    <w:rsid w:val="00642ED9"/>
    <w:rsid w:val="006432FD"/>
    <w:rsid w:val="00643318"/>
    <w:rsid w:val="006451DF"/>
    <w:rsid w:val="0064521A"/>
    <w:rsid w:val="00645C2C"/>
    <w:rsid w:val="00645F98"/>
    <w:rsid w:val="00646572"/>
    <w:rsid w:val="00646693"/>
    <w:rsid w:val="00650577"/>
    <w:rsid w:val="0065077A"/>
    <w:rsid w:val="00650B64"/>
    <w:rsid w:val="00651035"/>
    <w:rsid w:val="00652226"/>
    <w:rsid w:val="006528B7"/>
    <w:rsid w:val="0065383F"/>
    <w:rsid w:val="00653954"/>
    <w:rsid w:val="006539B5"/>
    <w:rsid w:val="006549A8"/>
    <w:rsid w:val="006569A1"/>
    <w:rsid w:val="0066042B"/>
    <w:rsid w:val="006612B8"/>
    <w:rsid w:val="00661997"/>
    <w:rsid w:val="00662EBB"/>
    <w:rsid w:val="00663354"/>
    <w:rsid w:val="006635A0"/>
    <w:rsid w:val="00663923"/>
    <w:rsid w:val="00664246"/>
    <w:rsid w:val="0066428B"/>
    <w:rsid w:val="006655C7"/>
    <w:rsid w:val="0066579B"/>
    <w:rsid w:val="00666CF4"/>
    <w:rsid w:val="006675AF"/>
    <w:rsid w:val="00670AB8"/>
    <w:rsid w:val="00670DB3"/>
    <w:rsid w:val="0067286B"/>
    <w:rsid w:val="006728FC"/>
    <w:rsid w:val="00672A2E"/>
    <w:rsid w:val="00675581"/>
    <w:rsid w:val="0067589A"/>
    <w:rsid w:val="00675E86"/>
    <w:rsid w:val="00675F3E"/>
    <w:rsid w:val="006773C1"/>
    <w:rsid w:val="00681F81"/>
    <w:rsid w:val="006825C2"/>
    <w:rsid w:val="006843EA"/>
    <w:rsid w:val="0068465C"/>
    <w:rsid w:val="00684A23"/>
    <w:rsid w:val="00685152"/>
    <w:rsid w:val="00685434"/>
    <w:rsid w:val="00685580"/>
    <w:rsid w:val="0068641E"/>
    <w:rsid w:val="00687FB9"/>
    <w:rsid w:val="00690201"/>
    <w:rsid w:val="00690CA8"/>
    <w:rsid w:val="00690F19"/>
    <w:rsid w:val="00691CAC"/>
    <w:rsid w:val="00691F2B"/>
    <w:rsid w:val="00692E01"/>
    <w:rsid w:val="00692FB3"/>
    <w:rsid w:val="006939E1"/>
    <w:rsid w:val="00693B84"/>
    <w:rsid w:val="006943A3"/>
    <w:rsid w:val="00694A1B"/>
    <w:rsid w:val="00695AC7"/>
    <w:rsid w:val="00696609"/>
    <w:rsid w:val="00696D2A"/>
    <w:rsid w:val="006A0012"/>
    <w:rsid w:val="006A0BFE"/>
    <w:rsid w:val="006A1153"/>
    <w:rsid w:val="006A1168"/>
    <w:rsid w:val="006A1713"/>
    <w:rsid w:val="006A184D"/>
    <w:rsid w:val="006A1B1E"/>
    <w:rsid w:val="006A1C48"/>
    <w:rsid w:val="006A33C4"/>
    <w:rsid w:val="006A3F57"/>
    <w:rsid w:val="006A50B4"/>
    <w:rsid w:val="006A6309"/>
    <w:rsid w:val="006A6CA9"/>
    <w:rsid w:val="006A6E7B"/>
    <w:rsid w:val="006A7117"/>
    <w:rsid w:val="006A7FB4"/>
    <w:rsid w:val="006B188A"/>
    <w:rsid w:val="006B18FC"/>
    <w:rsid w:val="006B1E83"/>
    <w:rsid w:val="006B1EBB"/>
    <w:rsid w:val="006B2D5C"/>
    <w:rsid w:val="006B35A0"/>
    <w:rsid w:val="006B480B"/>
    <w:rsid w:val="006B4EFD"/>
    <w:rsid w:val="006B4F5B"/>
    <w:rsid w:val="006B623C"/>
    <w:rsid w:val="006B643E"/>
    <w:rsid w:val="006B75A0"/>
    <w:rsid w:val="006B77E1"/>
    <w:rsid w:val="006B7884"/>
    <w:rsid w:val="006C0A2B"/>
    <w:rsid w:val="006C1359"/>
    <w:rsid w:val="006C17C7"/>
    <w:rsid w:val="006C1834"/>
    <w:rsid w:val="006C2683"/>
    <w:rsid w:val="006C37B9"/>
    <w:rsid w:val="006C46E7"/>
    <w:rsid w:val="006C777A"/>
    <w:rsid w:val="006D1A19"/>
    <w:rsid w:val="006D2764"/>
    <w:rsid w:val="006D3446"/>
    <w:rsid w:val="006D3C12"/>
    <w:rsid w:val="006D7B49"/>
    <w:rsid w:val="006D7D25"/>
    <w:rsid w:val="006E0539"/>
    <w:rsid w:val="006E11EC"/>
    <w:rsid w:val="006E14DB"/>
    <w:rsid w:val="006E1EE0"/>
    <w:rsid w:val="006E4621"/>
    <w:rsid w:val="006E5465"/>
    <w:rsid w:val="006E59F6"/>
    <w:rsid w:val="006E5E01"/>
    <w:rsid w:val="006F1404"/>
    <w:rsid w:val="006F1A0B"/>
    <w:rsid w:val="006F28E3"/>
    <w:rsid w:val="006F2A17"/>
    <w:rsid w:val="006F3388"/>
    <w:rsid w:val="006F436D"/>
    <w:rsid w:val="006F521F"/>
    <w:rsid w:val="006F577E"/>
    <w:rsid w:val="006F5A83"/>
    <w:rsid w:val="006F6518"/>
    <w:rsid w:val="006F6694"/>
    <w:rsid w:val="006F6B9B"/>
    <w:rsid w:val="0070074C"/>
    <w:rsid w:val="00701094"/>
    <w:rsid w:val="007017D0"/>
    <w:rsid w:val="00701B7D"/>
    <w:rsid w:val="00703F1B"/>
    <w:rsid w:val="00704FF1"/>
    <w:rsid w:val="00705014"/>
    <w:rsid w:val="007064DC"/>
    <w:rsid w:val="007065D2"/>
    <w:rsid w:val="007067C4"/>
    <w:rsid w:val="00707676"/>
    <w:rsid w:val="00710BF5"/>
    <w:rsid w:val="00713D1E"/>
    <w:rsid w:val="00713E38"/>
    <w:rsid w:val="00714295"/>
    <w:rsid w:val="00714613"/>
    <w:rsid w:val="00715243"/>
    <w:rsid w:val="007156FA"/>
    <w:rsid w:val="0071587D"/>
    <w:rsid w:val="00716287"/>
    <w:rsid w:val="007172CE"/>
    <w:rsid w:val="00721F89"/>
    <w:rsid w:val="007226BE"/>
    <w:rsid w:val="00722FEF"/>
    <w:rsid w:val="007231FF"/>
    <w:rsid w:val="0072385C"/>
    <w:rsid w:val="007239E1"/>
    <w:rsid w:val="00724547"/>
    <w:rsid w:val="00724D8C"/>
    <w:rsid w:val="00724DFD"/>
    <w:rsid w:val="00725880"/>
    <w:rsid w:val="00727A03"/>
    <w:rsid w:val="00727B12"/>
    <w:rsid w:val="00727D75"/>
    <w:rsid w:val="00730B49"/>
    <w:rsid w:val="00731092"/>
    <w:rsid w:val="007314CF"/>
    <w:rsid w:val="007317AA"/>
    <w:rsid w:val="007322EC"/>
    <w:rsid w:val="00732DF6"/>
    <w:rsid w:val="00733C0D"/>
    <w:rsid w:val="00734275"/>
    <w:rsid w:val="00736C84"/>
    <w:rsid w:val="00736D33"/>
    <w:rsid w:val="0074010F"/>
    <w:rsid w:val="00740586"/>
    <w:rsid w:val="0074116F"/>
    <w:rsid w:val="007417B8"/>
    <w:rsid w:val="00741E2F"/>
    <w:rsid w:val="0074206C"/>
    <w:rsid w:val="0074288D"/>
    <w:rsid w:val="00743CC4"/>
    <w:rsid w:val="00744D17"/>
    <w:rsid w:val="0074530C"/>
    <w:rsid w:val="0074541D"/>
    <w:rsid w:val="007454BB"/>
    <w:rsid w:val="00745826"/>
    <w:rsid w:val="007465AA"/>
    <w:rsid w:val="007470C1"/>
    <w:rsid w:val="00750054"/>
    <w:rsid w:val="0075072B"/>
    <w:rsid w:val="007520CB"/>
    <w:rsid w:val="0075365E"/>
    <w:rsid w:val="007538C1"/>
    <w:rsid w:val="00753C6C"/>
    <w:rsid w:val="00753DD3"/>
    <w:rsid w:val="0076008E"/>
    <w:rsid w:val="00760835"/>
    <w:rsid w:val="00760AA9"/>
    <w:rsid w:val="0076137E"/>
    <w:rsid w:val="00762011"/>
    <w:rsid w:val="00762350"/>
    <w:rsid w:val="007625D3"/>
    <w:rsid w:val="00762E54"/>
    <w:rsid w:val="0076387F"/>
    <w:rsid w:val="00764544"/>
    <w:rsid w:val="007657D2"/>
    <w:rsid w:val="007665AB"/>
    <w:rsid w:val="00767927"/>
    <w:rsid w:val="00767EA9"/>
    <w:rsid w:val="00771E89"/>
    <w:rsid w:val="00772347"/>
    <w:rsid w:val="00773B18"/>
    <w:rsid w:val="007752C3"/>
    <w:rsid w:val="0077702C"/>
    <w:rsid w:val="00777C4B"/>
    <w:rsid w:val="00777E26"/>
    <w:rsid w:val="007815DF"/>
    <w:rsid w:val="00781D91"/>
    <w:rsid w:val="00782153"/>
    <w:rsid w:val="007822A7"/>
    <w:rsid w:val="00782B74"/>
    <w:rsid w:val="00784C87"/>
    <w:rsid w:val="00785F3C"/>
    <w:rsid w:val="007874D8"/>
    <w:rsid w:val="00787F49"/>
    <w:rsid w:val="007916EF"/>
    <w:rsid w:val="00791E8B"/>
    <w:rsid w:val="00791F27"/>
    <w:rsid w:val="007931C0"/>
    <w:rsid w:val="00794AE7"/>
    <w:rsid w:val="007957B7"/>
    <w:rsid w:val="00795C02"/>
    <w:rsid w:val="00797246"/>
    <w:rsid w:val="007A05BD"/>
    <w:rsid w:val="007A061D"/>
    <w:rsid w:val="007A12D6"/>
    <w:rsid w:val="007A36B2"/>
    <w:rsid w:val="007A3A8B"/>
    <w:rsid w:val="007A40AD"/>
    <w:rsid w:val="007A65F5"/>
    <w:rsid w:val="007A7A95"/>
    <w:rsid w:val="007B04BA"/>
    <w:rsid w:val="007B13F3"/>
    <w:rsid w:val="007B1B35"/>
    <w:rsid w:val="007B211E"/>
    <w:rsid w:val="007B255C"/>
    <w:rsid w:val="007B3C70"/>
    <w:rsid w:val="007B4B71"/>
    <w:rsid w:val="007B4F99"/>
    <w:rsid w:val="007B4FB2"/>
    <w:rsid w:val="007B59CB"/>
    <w:rsid w:val="007B65B3"/>
    <w:rsid w:val="007B72C7"/>
    <w:rsid w:val="007C05F9"/>
    <w:rsid w:val="007C1F16"/>
    <w:rsid w:val="007C4359"/>
    <w:rsid w:val="007C63CD"/>
    <w:rsid w:val="007C6D70"/>
    <w:rsid w:val="007C785D"/>
    <w:rsid w:val="007D09D6"/>
    <w:rsid w:val="007D0B96"/>
    <w:rsid w:val="007D16BC"/>
    <w:rsid w:val="007D17E0"/>
    <w:rsid w:val="007D2073"/>
    <w:rsid w:val="007D2098"/>
    <w:rsid w:val="007D250D"/>
    <w:rsid w:val="007D25FE"/>
    <w:rsid w:val="007D2CC2"/>
    <w:rsid w:val="007D3B7C"/>
    <w:rsid w:val="007D4161"/>
    <w:rsid w:val="007D41CD"/>
    <w:rsid w:val="007D4347"/>
    <w:rsid w:val="007D43A0"/>
    <w:rsid w:val="007D508A"/>
    <w:rsid w:val="007D5903"/>
    <w:rsid w:val="007D7614"/>
    <w:rsid w:val="007E0529"/>
    <w:rsid w:val="007E16B2"/>
    <w:rsid w:val="007E17FE"/>
    <w:rsid w:val="007E1A04"/>
    <w:rsid w:val="007E1AAB"/>
    <w:rsid w:val="007E23C5"/>
    <w:rsid w:val="007E265B"/>
    <w:rsid w:val="007E3073"/>
    <w:rsid w:val="007E3649"/>
    <w:rsid w:val="007E5354"/>
    <w:rsid w:val="007E5B56"/>
    <w:rsid w:val="007E7D67"/>
    <w:rsid w:val="007F0C25"/>
    <w:rsid w:val="007F2858"/>
    <w:rsid w:val="007F5E52"/>
    <w:rsid w:val="007F6C13"/>
    <w:rsid w:val="007F7FD6"/>
    <w:rsid w:val="00800A24"/>
    <w:rsid w:val="00801A7A"/>
    <w:rsid w:val="00801F4E"/>
    <w:rsid w:val="0080260A"/>
    <w:rsid w:val="008026B3"/>
    <w:rsid w:val="00802A7D"/>
    <w:rsid w:val="00802C20"/>
    <w:rsid w:val="00803B2D"/>
    <w:rsid w:val="00805729"/>
    <w:rsid w:val="008059C5"/>
    <w:rsid w:val="008063FF"/>
    <w:rsid w:val="00806783"/>
    <w:rsid w:val="00807605"/>
    <w:rsid w:val="00807BFC"/>
    <w:rsid w:val="0081010A"/>
    <w:rsid w:val="008109EF"/>
    <w:rsid w:val="00810D6B"/>
    <w:rsid w:val="00811226"/>
    <w:rsid w:val="008116EB"/>
    <w:rsid w:val="00811E0D"/>
    <w:rsid w:val="00811FD1"/>
    <w:rsid w:val="00813DF6"/>
    <w:rsid w:val="008148AF"/>
    <w:rsid w:val="00814C26"/>
    <w:rsid w:val="00814ECD"/>
    <w:rsid w:val="00815D91"/>
    <w:rsid w:val="008164D5"/>
    <w:rsid w:val="00817014"/>
    <w:rsid w:val="008205B4"/>
    <w:rsid w:val="008207AD"/>
    <w:rsid w:val="00822AC8"/>
    <w:rsid w:val="00823940"/>
    <w:rsid w:val="00825939"/>
    <w:rsid w:val="008269E4"/>
    <w:rsid w:val="008278A7"/>
    <w:rsid w:val="00827E61"/>
    <w:rsid w:val="008308B3"/>
    <w:rsid w:val="00830F7C"/>
    <w:rsid w:val="00830FCE"/>
    <w:rsid w:val="00831B9E"/>
    <w:rsid w:val="0083328C"/>
    <w:rsid w:val="00833697"/>
    <w:rsid w:val="00833856"/>
    <w:rsid w:val="00833B3A"/>
    <w:rsid w:val="008350D1"/>
    <w:rsid w:val="0083548E"/>
    <w:rsid w:val="008378D3"/>
    <w:rsid w:val="00837B7E"/>
    <w:rsid w:val="0084152E"/>
    <w:rsid w:val="00841EC6"/>
    <w:rsid w:val="00841F1B"/>
    <w:rsid w:val="008425D5"/>
    <w:rsid w:val="00843EE7"/>
    <w:rsid w:val="00845092"/>
    <w:rsid w:val="00845D42"/>
    <w:rsid w:val="00846245"/>
    <w:rsid w:val="00846D53"/>
    <w:rsid w:val="0084700E"/>
    <w:rsid w:val="0084701D"/>
    <w:rsid w:val="00850144"/>
    <w:rsid w:val="00850E3F"/>
    <w:rsid w:val="00852482"/>
    <w:rsid w:val="00852DA8"/>
    <w:rsid w:val="00853E4D"/>
    <w:rsid w:val="00854884"/>
    <w:rsid w:val="008550B3"/>
    <w:rsid w:val="008556A2"/>
    <w:rsid w:val="00855985"/>
    <w:rsid w:val="00855AD2"/>
    <w:rsid w:val="00856073"/>
    <w:rsid w:val="00857328"/>
    <w:rsid w:val="0085796E"/>
    <w:rsid w:val="008613F5"/>
    <w:rsid w:val="0086343E"/>
    <w:rsid w:val="00863CF7"/>
    <w:rsid w:val="008653FF"/>
    <w:rsid w:val="008654ED"/>
    <w:rsid w:val="0086597A"/>
    <w:rsid w:val="00866131"/>
    <w:rsid w:val="00866C2E"/>
    <w:rsid w:val="00867C2C"/>
    <w:rsid w:val="00867D61"/>
    <w:rsid w:val="00870911"/>
    <w:rsid w:val="00872812"/>
    <w:rsid w:val="00873336"/>
    <w:rsid w:val="00873DE6"/>
    <w:rsid w:val="00874940"/>
    <w:rsid w:val="00874B5E"/>
    <w:rsid w:val="00874DB0"/>
    <w:rsid w:val="0087544C"/>
    <w:rsid w:val="008758F0"/>
    <w:rsid w:val="00875CF9"/>
    <w:rsid w:val="00876D29"/>
    <w:rsid w:val="008772F7"/>
    <w:rsid w:val="0087739E"/>
    <w:rsid w:val="008779D5"/>
    <w:rsid w:val="00880268"/>
    <w:rsid w:val="00880393"/>
    <w:rsid w:val="008805D1"/>
    <w:rsid w:val="00880750"/>
    <w:rsid w:val="0088090E"/>
    <w:rsid w:val="00880AF1"/>
    <w:rsid w:val="00881D19"/>
    <w:rsid w:val="008821F2"/>
    <w:rsid w:val="008837D6"/>
    <w:rsid w:val="00883AAC"/>
    <w:rsid w:val="00884599"/>
    <w:rsid w:val="00884F5F"/>
    <w:rsid w:val="008855A9"/>
    <w:rsid w:val="00885691"/>
    <w:rsid w:val="008859EC"/>
    <w:rsid w:val="00886D5B"/>
    <w:rsid w:val="00886EDB"/>
    <w:rsid w:val="00887330"/>
    <w:rsid w:val="00890FFA"/>
    <w:rsid w:val="00891F80"/>
    <w:rsid w:val="00893A27"/>
    <w:rsid w:val="00893A67"/>
    <w:rsid w:val="00894493"/>
    <w:rsid w:val="0089566F"/>
    <w:rsid w:val="00895781"/>
    <w:rsid w:val="00896331"/>
    <w:rsid w:val="00896907"/>
    <w:rsid w:val="00896DDD"/>
    <w:rsid w:val="0089787A"/>
    <w:rsid w:val="008A0453"/>
    <w:rsid w:val="008A0FCA"/>
    <w:rsid w:val="008A1DEF"/>
    <w:rsid w:val="008A244B"/>
    <w:rsid w:val="008A3DCC"/>
    <w:rsid w:val="008A4840"/>
    <w:rsid w:val="008A5805"/>
    <w:rsid w:val="008A5878"/>
    <w:rsid w:val="008A5C70"/>
    <w:rsid w:val="008A66BC"/>
    <w:rsid w:val="008A7CE8"/>
    <w:rsid w:val="008A7FD4"/>
    <w:rsid w:val="008B091F"/>
    <w:rsid w:val="008B2EC0"/>
    <w:rsid w:val="008B31CB"/>
    <w:rsid w:val="008B6475"/>
    <w:rsid w:val="008B7222"/>
    <w:rsid w:val="008B7BED"/>
    <w:rsid w:val="008C306B"/>
    <w:rsid w:val="008C3826"/>
    <w:rsid w:val="008C3B31"/>
    <w:rsid w:val="008C3E62"/>
    <w:rsid w:val="008C62D7"/>
    <w:rsid w:val="008C6468"/>
    <w:rsid w:val="008C667B"/>
    <w:rsid w:val="008C7EE1"/>
    <w:rsid w:val="008D18CB"/>
    <w:rsid w:val="008D2E7B"/>
    <w:rsid w:val="008D398B"/>
    <w:rsid w:val="008D6259"/>
    <w:rsid w:val="008D73E2"/>
    <w:rsid w:val="008E061B"/>
    <w:rsid w:val="008E079E"/>
    <w:rsid w:val="008E137B"/>
    <w:rsid w:val="008E1640"/>
    <w:rsid w:val="008E1ADB"/>
    <w:rsid w:val="008E1F0A"/>
    <w:rsid w:val="008E3273"/>
    <w:rsid w:val="008E42F2"/>
    <w:rsid w:val="008E4415"/>
    <w:rsid w:val="008E4A23"/>
    <w:rsid w:val="008E5A79"/>
    <w:rsid w:val="008E782B"/>
    <w:rsid w:val="008F0236"/>
    <w:rsid w:val="008F11BC"/>
    <w:rsid w:val="008F2031"/>
    <w:rsid w:val="008F21B9"/>
    <w:rsid w:val="008F25CE"/>
    <w:rsid w:val="008F2826"/>
    <w:rsid w:val="008F2EF1"/>
    <w:rsid w:val="008F5010"/>
    <w:rsid w:val="008F58EA"/>
    <w:rsid w:val="008F620F"/>
    <w:rsid w:val="008F6D2A"/>
    <w:rsid w:val="008F6E71"/>
    <w:rsid w:val="008F7CA7"/>
    <w:rsid w:val="008F7E08"/>
    <w:rsid w:val="00900D80"/>
    <w:rsid w:val="009018A8"/>
    <w:rsid w:val="009021F9"/>
    <w:rsid w:val="00902AA5"/>
    <w:rsid w:val="00904D69"/>
    <w:rsid w:val="00905071"/>
    <w:rsid w:val="00905781"/>
    <w:rsid w:val="0090579D"/>
    <w:rsid w:val="00905911"/>
    <w:rsid w:val="009063E0"/>
    <w:rsid w:val="0090673F"/>
    <w:rsid w:val="00906D14"/>
    <w:rsid w:val="00910184"/>
    <w:rsid w:val="009107AC"/>
    <w:rsid w:val="0091167C"/>
    <w:rsid w:val="009117C9"/>
    <w:rsid w:val="009120FF"/>
    <w:rsid w:val="00912930"/>
    <w:rsid w:val="00914366"/>
    <w:rsid w:val="00914B8B"/>
    <w:rsid w:val="0091570C"/>
    <w:rsid w:val="00917A07"/>
    <w:rsid w:val="00920158"/>
    <w:rsid w:val="009217FA"/>
    <w:rsid w:val="00921FBF"/>
    <w:rsid w:val="0092264C"/>
    <w:rsid w:val="00923934"/>
    <w:rsid w:val="0092568D"/>
    <w:rsid w:val="00926443"/>
    <w:rsid w:val="009264BE"/>
    <w:rsid w:val="009267B5"/>
    <w:rsid w:val="009272E8"/>
    <w:rsid w:val="00927CD2"/>
    <w:rsid w:val="009311F5"/>
    <w:rsid w:val="00931602"/>
    <w:rsid w:val="00932B61"/>
    <w:rsid w:val="009331CE"/>
    <w:rsid w:val="0093397E"/>
    <w:rsid w:val="00934497"/>
    <w:rsid w:val="00934E3B"/>
    <w:rsid w:val="009359D1"/>
    <w:rsid w:val="00936425"/>
    <w:rsid w:val="0093762E"/>
    <w:rsid w:val="00937640"/>
    <w:rsid w:val="009378A4"/>
    <w:rsid w:val="009402E8"/>
    <w:rsid w:val="00941366"/>
    <w:rsid w:val="00941B3A"/>
    <w:rsid w:val="00943AA3"/>
    <w:rsid w:val="009444B0"/>
    <w:rsid w:val="00944CCB"/>
    <w:rsid w:val="00945177"/>
    <w:rsid w:val="009468F8"/>
    <w:rsid w:val="0095009D"/>
    <w:rsid w:val="0095029A"/>
    <w:rsid w:val="00951679"/>
    <w:rsid w:val="00952AA1"/>
    <w:rsid w:val="00952D0A"/>
    <w:rsid w:val="00953796"/>
    <w:rsid w:val="00953B29"/>
    <w:rsid w:val="00956B96"/>
    <w:rsid w:val="00957D5D"/>
    <w:rsid w:val="00960E0B"/>
    <w:rsid w:val="009619A4"/>
    <w:rsid w:val="00964293"/>
    <w:rsid w:val="009646F4"/>
    <w:rsid w:val="00964749"/>
    <w:rsid w:val="00964F75"/>
    <w:rsid w:val="0096538B"/>
    <w:rsid w:val="0096633B"/>
    <w:rsid w:val="00966940"/>
    <w:rsid w:val="00966EA6"/>
    <w:rsid w:val="00966F62"/>
    <w:rsid w:val="00971480"/>
    <w:rsid w:val="00971CB9"/>
    <w:rsid w:val="00972259"/>
    <w:rsid w:val="00972B46"/>
    <w:rsid w:val="00972B62"/>
    <w:rsid w:val="009744E6"/>
    <w:rsid w:val="00974D7C"/>
    <w:rsid w:val="00975671"/>
    <w:rsid w:val="00977A09"/>
    <w:rsid w:val="00981595"/>
    <w:rsid w:val="009825CE"/>
    <w:rsid w:val="009828E3"/>
    <w:rsid w:val="00984022"/>
    <w:rsid w:val="009849D1"/>
    <w:rsid w:val="00984CAA"/>
    <w:rsid w:val="0098523A"/>
    <w:rsid w:val="00985789"/>
    <w:rsid w:val="00985A0F"/>
    <w:rsid w:val="00986044"/>
    <w:rsid w:val="00986ADA"/>
    <w:rsid w:val="00986F08"/>
    <w:rsid w:val="009874A5"/>
    <w:rsid w:val="009875D6"/>
    <w:rsid w:val="00990773"/>
    <w:rsid w:val="00990D43"/>
    <w:rsid w:val="00990F1B"/>
    <w:rsid w:val="0099107E"/>
    <w:rsid w:val="00991A61"/>
    <w:rsid w:val="00991BDB"/>
    <w:rsid w:val="00991FD9"/>
    <w:rsid w:val="0099325C"/>
    <w:rsid w:val="00993C5B"/>
    <w:rsid w:val="00993FB3"/>
    <w:rsid w:val="0099455B"/>
    <w:rsid w:val="00996F5C"/>
    <w:rsid w:val="00997161"/>
    <w:rsid w:val="009978F4"/>
    <w:rsid w:val="00997906"/>
    <w:rsid w:val="00997E7F"/>
    <w:rsid w:val="009A2800"/>
    <w:rsid w:val="009A2E71"/>
    <w:rsid w:val="009A3142"/>
    <w:rsid w:val="009A4D62"/>
    <w:rsid w:val="009A5AFB"/>
    <w:rsid w:val="009A6397"/>
    <w:rsid w:val="009A68F4"/>
    <w:rsid w:val="009A7F90"/>
    <w:rsid w:val="009B0925"/>
    <w:rsid w:val="009B1472"/>
    <w:rsid w:val="009B2BA1"/>
    <w:rsid w:val="009B2D7F"/>
    <w:rsid w:val="009B31E1"/>
    <w:rsid w:val="009B4D20"/>
    <w:rsid w:val="009B4F23"/>
    <w:rsid w:val="009B53DA"/>
    <w:rsid w:val="009B55ED"/>
    <w:rsid w:val="009B5E87"/>
    <w:rsid w:val="009B6076"/>
    <w:rsid w:val="009B63E0"/>
    <w:rsid w:val="009B793C"/>
    <w:rsid w:val="009B7F60"/>
    <w:rsid w:val="009C03A5"/>
    <w:rsid w:val="009C03E9"/>
    <w:rsid w:val="009C1152"/>
    <w:rsid w:val="009C125A"/>
    <w:rsid w:val="009C1862"/>
    <w:rsid w:val="009C2751"/>
    <w:rsid w:val="009C33AA"/>
    <w:rsid w:val="009C3A43"/>
    <w:rsid w:val="009C50BB"/>
    <w:rsid w:val="009C60EB"/>
    <w:rsid w:val="009C6EF1"/>
    <w:rsid w:val="009C7AA3"/>
    <w:rsid w:val="009D014E"/>
    <w:rsid w:val="009D1752"/>
    <w:rsid w:val="009D1D2D"/>
    <w:rsid w:val="009D22E4"/>
    <w:rsid w:val="009D2860"/>
    <w:rsid w:val="009D4575"/>
    <w:rsid w:val="009D59CD"/>
    <w:rsid w:val="009D6169"/>
    <w:rsid w:val="009D6B20"/>
    <w:rsid w:val="009E1787"/>
    <w:rsid w:val="009E194C"/>
    <w:rsid w:val="009E19CC"/>
    <w:rsid w:val="009E1DBC"/>
    <w:rsid w:val="009E326D"/>
    <w:rsid w:val="009E32CF"/>
    <w:rsid w:val="009E3C31"/>
    <w:rsid w:val="009E62DE"/>
    <w:rsid w:val="009E79BC"/>
    <w:rsid w:val="009F1B93"/>
    <w:rsid w:val="009F28BC"/>
    <w:rsid w:val="009F2CAE"/>
    <w:rsid w:val="009F2E37"/>
    <w:rsid w:val="009F3363"/>
    <w:rsid w:val="009F36F9"/>
    <w:rsid w:val="009F3D1C"/>
    <w:rsid w:val="009F4086"/>
    <w:rsid w:val="009F41CD"/>
    <w:rsid w:val="009F4615"/>
    <w:rsid w:val="009F4705"/>
    <w:rsid w:val="009F48EB"/>
    <w:rsid w:val="009F6098"/>
    <w:rsid w:val="00A00F6A"/>
    <w:rsid w:val="00A021E8"/>
    <w:rsid w:val="00A03648"/>
    <w:rsid w:val="00A03F3E"/>
    <w:rsid w:val="00A043DB"/>
    <w:rsid w:val="00A05359"/>
    <w:rsid w:val="00A05F67"/>
    <w:rsid w:val="00A062B0"/>
    <w:rsid w:val="00A064C1"/>
    <w:rsid w:val="00A06CA0"/>
    <w:rsid w:val="00A07013"/>
    <w:rsid w:val="00A07F54"/>
    <w:rsid w:val="00A10D44"/>
    <w:rsid w:val="00A12106"/>
    <w:rsid w:val="00A13246"/>
    <w:rsid w:val="00A1431C"/>
    <w:rsid w:val="00A1440D"/>
    <w:rsid w:val="00A14468"/>
    <w:rsid w:val="00A145E4"/>
    <w:rsid w:val="00A156FC"/>
    <w:rsid w:val="00A15F33"/>
    <w:rsid w:val="00A15F91"/>
    <w:rsid w:val="00A17B6A"/>
    <w:rsid w:val="00A2205C"/>
    <w:rsid w:val="00A222A0"/>
    <w:rsid w:val="00A2234B"/>
    <w:rsid w:val="00A2235B"/>
    <w:rsid w:val="00A23FE3"/>
    <w:rsid w:val="00A2520D"/>
    <w:rsid w:val="00A25FE4"/>
    <w:rsid w:val="00A2661C"/>
    <w:rsid w:val="00A26F2D"/>
    <w:rsid w:val="00A30EC6"/>
    <w:rsid w:val="00A32153"/>
    <w:rsid w:val="00A323A8"/>
    <w:rsid w:val="00A32780"/>
    <w:rsid w:val="00A3412F"/>
    <w:rsid w:val="00A352E1"/>
    <w:rsid w:val="00A3538E"/>
    <w:rsid w:val="00A35F38"/>
    <w:rsid w:val="00A36186"/>
    <w:rsid w:val="00A40194"/>
    <w:rsid w:val="00A402E2"/>
    <w:rsid w:val="00A40F3F"/>
    <w:rsid w:val="00A417EF"/>
    <w:rsid w:val="00A41F39"/>
    <w:rsid w:val="00A42044"/>
    <w:rsid w:val="00A42202"/>
    <w:rsid w:val="00A43695"/>
    <w:rsid w:val="00A44B05"/>
    <w:rsid w:val="00A45803"/>
    <w:rsid w:val="00A46905"/>
    <w:rsid w:val="00A46CC4"/>
    <w:rsid w:val="00A47964"/>
    <w:rsid w:val="00A50553"/>
    <w:rsid w:val="00A506EC"/>
    <w:rsid w:val="00A524C8"/>
    <w:rsid w:val="00A526E8"/>
    <w:rsid w:val="00A5392F"/>
    <w:rsid w:val="00A539B6"/>
    <w:rsid w:val="00A53B60"/>
    <w:rsid w:val="00A54424"/>
    <w:rsid w:val="00A5694E"/>
    <w:rsid w:val="00A5748E"/>
    <w:rsid w:val="00A57ECD"/>
    <w:rsid w:val="00A60536"/>
    <w:rsid w:val="00A613CF"/>
    <w:rsid w:val="00A613D8"/>
    <w:rsid w:val="00A61D56"/>
    <w:rsid w:val="00A61F0E"/>
    <w:rsid w:val="00A62BAE"/>
    <w:rsid w:val="00A641BF"/>
    <w:rsid w:val="00A65D26"/>
    <w:rsid w:val="00A660E6"/>
    <w:rsid w:val="00A6652C"/>
    <w:rsid w:val="00A6768D"/>
    <w:rsid w:val="00A704A6"/>
    <w:rsid w:val="00A70755"/>
    <w:rsid w:val="00A7262E"/>
    <w:rsid w:val="00A74A8A"/>
    <w:rsid w:val="00A750AA"/>
    <w:rsid w:val="00A7592E"/>
    <w:rsid w:val="00A7707D"/>
    <w:rsid w:val="00A775CA"/>
    <w:rsid w:val="00A77A19"/>
    <w:rsid w:val="00A80D32"/>
    <w:rsid w:val="00A8216D"/>
    <w:rsid w:val="00A822A3"/>
    <w:rsid w:val="00A8267A"/>
    <w:rsid w:val="00A83168"/>
    <w:rsid w:val="00A83534"/>
    <w:rsid w:val="00A83872"/>
    <w:rsid w:val="00A83E9D"/>
    <w:rsid w:val="00A83FD6"/>
    <w:rsid w:val="00A8415B"/>
    <w:rsid w:val="00A84DE5"/>
    <w:rsid w:val="00A857D9"/>
    <w:rsid w:val="00A85AE5"/>
    <w:rsid w:val="00A862C3"/>
    <w:rsid w:val="00A86725"/>
    <w:rsid w:val="00A86B1B"/>
    <w:rsid w:val="00A90484"/>
    <w:rsid w:val="00A90DB7"/>
    <w:rsid w:val="00A91AE7"/>
    <w:rsid w:val="00A91C56"/>
    <w:rsid w:val="00A935CB"/>
    <w:rsid w:val="00A93D1E"/>
    <w:rsid w:val="00A9411C"/>
    <w:rsid w:val="00A94156"/>
    <w:rsid w:val="00A941F2"/>
    <w:rsid w:val="00A943A7"/>
    <w:rsid w:val="00A943B1"/>
    <w:rsid w:val="00A9566E"/>
    <w:rsid w:val="00A96DDC"/>
    <w:rsid w:val="00A9712C"/>
    <w:rsid w:val="00A972A1"/>
    <w:rsid w:val="00A97913"/>
    <w:rsid w:val="00A97EA2"/>
    <w:rsid w:val="00A97F91"/>
    <w:rsid w:val="00AA0322"/>
    <w:rsid w:val="00AA05FB"/>
    <w:rsid w:val="00AA08E9"/>
    <w:rsid w:val="00AA0E1C"/>
    <w:rsid w:val="00AA11EC"/>
    <w:rsid w:val="00AA1D8E"/>
    <w:rsid w:val="00AA28B6"/>
    <w:rsid w:val="00AA2972"/>
    <w:rsid w:val="00AA318E"/>
    <w:rsid w:val="00AA36B4"/>
    <w:rsid w:val="00AA43CC"/>
    <w:rsid w:val="00AA7485"/>
    <w:rsid w:val="00AB1887"/>
    <w:rsid w:val="00AB1A60"/>
    <w:rsid w:val="00AB1CF0"/>
    <w:rsid w:val="00AB2FBD"/>
    <w:rsid w:val="00AB37D2"/>
    <w:rsid w:val="00AB4989"/>
    <w:rsid w:val="00AB4AB8"/>
    <w:rsid w:val="00AB4F12"/>
    <w:rsid w:val="00AB662B"/>
    <w:rsid w:val="00AB6F43"/>
    <w:rsid w:val="00AB79EE"/>
    <w:rsid w:val="00AC1304"/>
    <w:rsid w:val="00AC1B28"/>
    <w:rsid w:val="00AC1F75"/>
    <w:rsid w:val="00AC2058"/>
    <w:rsid w:val="00AC30F0"/>
    <w:rsid w:val="00AC317F"/>
    <w:rsid w:val="00AC31BE"/>
    <w:rsid w:val="00AC351A"/>
    <w:rsid w:val="00AC393D"/>
    <w:rsid w:val="00AC3B94"/>
    <w:rsid w:val="00AC496B"/>
    <w:rsid w:val="00AC62A9"/>
    <w:rsid w:val="00AC6391"/>
    <w:rsid w:val="00AC7FC8"/>
    <w:rsid w:val="00AD0CB4"/>
    <w:rsid w:val="00AD0EDE"/>
    <w:rsid w:val="00AD1EA2"/>
    <w:rsid w:val="00AD2F4B"/>
    <w:rsid w:val="00AD4AF8"/>
    <w:rsid w:val="00AD4FA5"/>
    <w:rsid w:val="00AD579F"/>
    <w:rsid w:val="00AD5C35"/>
    <w:rsid w:val="00AD5FA7"/>
    <w:rsid w:val="00AD6049"/>
    <w:rsid w:val="00AD6431"/>
    <w:rsid w:val="00AD6C89"/>
    <w:rsid w:val="00AD742D"/>
    <w:rsid w:val="00AD74E0"/>
    <w:rsid w:val="00AD796C"/>
    <w:rsid w:val="00AD79FC"/>
    <w:rsid w:val="00AE045C"/>
    <w:rsid w:val="00AE0EE5"/>
    <w:rsid w:val="00AE1A23"/>
    <w:rsid w:val="00AE2744"/>
    <w:rsid w:val="00AE29B4"/>
    <w:rsid w:val="00AE45E8"/>
    <w:rsid w:val="00AE6C38"/>
    <w:rsid w:val="00AE734E"/>
    <w:rsid w:val="00AE746B"/>
    <w:rsid w:val="00AE7E8A"/>
    <w:rsid w:val="00AF329A"/>
    <w:rsid w:val="00AF377C"/>
    <w:rsid w:val="00AF4C12"/>
    <w:rsid w:val="00AF50BD"/>
    <w:rsid w:val="00AF61AC"/>
    <w:rsid w:val="00AF66F3"/>
    <w:rsid w:val="00AF6735"/>
    <w:rsid w:val="00AF6D2F"/>
    <w:rsid w:val="00AF7410"/>
    <w:rsid w:val="00AF7953"/>
    <w:rsid w:val="00AF7B61"/>
    <w:rsid w:val="00AF7C2C"/>
    <w:rsid w:val="00B00412"/>
    <w:rsid w:val="00B011D7"/>
    <w:rsid w:val="00B01409"/>
    <w:rsid w:val="00B0152D"/>
    <w:rsid w:val="00B027DE"/>
    <w:rsid w:val="00B03AFA"/>
    <w:rsid w:val="00B04078"/>
    <w:rsid w:val="00B04CB0"/>
    <w:rsid w:val="00B05656"/>
    <w:rsid w:val="00B05FC6"/>
    <w:rsid w:val="00B072F1"/>
    <w:rsid w:val="00B1079B"/>
    <w:rsid w:val="00B10A82"/>
    <w:rsid w:val="00B10D6E"/>
    <w:rsid w:val="00B10F86"/>
    <w:rsid w:val="00B1173B"/>
    <w:rsid w:val="00B124B3"/>
    <w:rsid w:val="00B1467B"/>
    <w:rsid w:val="00B150D7"/>
    <w:rsid w:val="00B1589A"/>
    <w:rsid w:val="00B15B82"/>
    <w:rsid w:val="00B16C0F"/>
    <w:rsid w:val="00B16C86"/>
    <w:rsid w:val="00B2024A"/>
    <w:rsid w:val="00B21803"/>
    <w:rsid w:val="00B2191A"/>
    <w:rsid w:val="00B21C37"/>
    <w:rsid w:val="00B2263F"/>
    <w:rsid w:val="00B22EAA"/>
    <w:rsid w:val="00B23D97"/>
    <w:rsid w:val="00B2594F"/>
    <w:rsid w:val="00B26A5C"/>
    <w:rsid w:val="00B27BD4"/>
    <w:rsid w:val="00B27F8C"/>
    <w:rsid w:val="00B3033C"/>
    <w:rsid w:val="00B30F92"/>
    <w:rsid w:val="00B31D16"/>
    <w:rsid w:val="00B32165"/>
    <w:rsid w:val="00B328E4"/>
    <w:rsid w:val="00B32AC4"/>
    <w:rsid w:val="00B33DE1"/>
    <w:rsid w:val="00B33FEC"/>
    <w:rsid w:val="00B345EE"/>
    <w:rsid w:val="00B34961"/>
    <w:rsid w:val="00B354ED"/>
    <w:rsid w:val="00B36808"/>
    <w:rsid w:val="00B36EB1"/>
    <w:rsid w:val="00B37602"/>
    <w:rsid w:val="00B37B26"/>
    <w:rsid w:val="00B405E9"/>
    <w:rsid w:val="00B41483"/>
    <w:rsid w:val="00B4430E"/>
    <w:rsid w:val="00B44562"/>
    <w:rsid w:val="00B47861"/>
    <w:rsid w:val="00B47BC7"/>
    <w:rsid w:val="00B50009"/>
    <w:rsid w:val="00B50E15"/>
    <w:rsid w:val="00B50EB0"/>
    <w:rsid w:val="00B5106B"/>
    <w:rsid w:val="00B51577"/>
    <w:rsid w:val="00B51AA1"/>
    <w:rsid w:val="00B545C4"/>
    <w:rsid w:val="00B566ED"/>
    <w:rsid w:val="00B56A2C"/>
    <w:rsid w:val="00B6007B"/>
    <w:rsid w:val="00B611EA"/>
    <w:rsid w:val="00B61398"/>
    <w:rsid w:val="00B61ECE"/>
    <w:rsid w:val="00B6418E"/>
    <w:rsid w:val="00B64216"/>
    <w:rsid w:val="00B64949"/>
    <w:rsid w:val="00B64D57"/>
    <w:rsid w:val="00B64D97"/>
    <w:rsid w:val="00B66235"/>
    <w:rsid w:val="00B66364"/>
    <w:rsid w:val="00B67A03"/>
    <w:rsid w:val="00B67B97"/>
    <w:rsid w:val="00B7025B"/>
    <w:rsid w:val="00B72756"/>
    <w:rsid w:val="00B729D2"/>
    <w:rsid w:val="00B72AA1"/>
    <w:rsid w:val="00B72C77"/>
    <w:rsid w:val="00B73126"/>
    <w:rsid w:val="00B7457F"/>
    <w:rsid w:val="00B7686D"/>
    <w:rsid w:val="00B80D71"/>
    <w:rsid w:val="00B80FAD"/>
    <w:rsid w:val="00B82AAE"/>
    <w:rsid w:val="00B83291"/>
    <w:rsid w:val="00B836A1"/>
    <w:rsid w:val="00B83E35"/>
    <w:rsid w:val="00B84503"/>
    <w:rsid w:val="00B84B9E"/>
    <w:rsid w:val="00B84C4B"/>
    <w:rsid w:val="00B854FF"/>
    <w:rsid w:val="00B85E36"/>
    <w:rsid w:val="00B8661A"/>
    <w:rsid w:val="00B86A7C"/>
    <w:rsid w:val="00B86C75"/>
    <w:rsid w:val="00B86F75"/>
    <w:rsid w:val="00B874AB"/>
    <w:rsid w:val="00B90548"/>
    <w:rsid w:val="00B90B93"/>
    <w:rsid w:val="00B91DE3"/>
    <w:rsid w:val="00B92431"/>
    <w:rsid w:val="00B9330C"/>
    <w:rsid w:val="00B93D3A"/>
    <w:rsid w:val="00B93FD5"/>
    <w:rsid w:val="00B9439C"/>
    <w:rsid w:val="00B9482C"/>
    <w:rsid w:val="00B94FBF"/>
    <w:rsid w:val="00B954F2"/>
    <w:rsid w:val="00B95594"/>
    <w:rsid w:val="00B9589D"/>
    <w:rsid w:val="00B95C29"/>
    <w:rsid w:val="00B969DD"/>
    <w:rsid w:val="00B97494"/>
    <w:rsid w:val="00BA010B"/>
    <w:rsid w:val="00BA1AD6"/>
    <w:rsid w:val="00BA1DA2"/>
    <w:rsid w:val="00BA3229"/>
    <w:rsid w:val="00BA3F93"/>
    <w:rsid w:val="00BA5A25"/>
    <w:rsid w:val="00BA62D6"/>
    <w:rsid w:val="00BA6F1F"/>
    <w:rsid w:val="00BA7996"/>
    <w:rsid w:val="00BB0866"/>
    <w:rsid w:val="00BB0CD4"/>
    <w:rsid w:val="00BB2B52"/>
    <w:rsid w:val="00BB30F6"/>
    <w:rsid w:val="00BB32FD"/>
    <w:rsid w:val="00BB3B46"/>
    <w:rsid w:val="00BB3CCF"/>
    <w:rsid w:val="00BB5EFB"/>
    <w:rsid w:val="00BB6157"/>
    <w:rsid w:val="00BB6488"/>
    <w:rsid w:val="00BB7AD4"/>
    <w:rsid w:val="00BC0650"/>
    <w:rsid w:val="00BC18B4"/>
    <w:rsid w:val="00BC1C9E"/>
    <w:rsid w:val="00BC283B"/>
    <w:rsid w:val="00BC3633"/>
    <w:rsid w:val="00BC3EA2"/>
    <w:rsid w:val="00BC4192"/>
    <w:rsid w:val="00BC6D78"/>
    <w:rsid w:val="00BD086D"/>
    <w:rsid w:val="00BD1376"/>
    <w:rsid w:val="00BD17AC"/>
    <w:rsid w:val="00BD29B8"/>
    <w:rsid w:val="00BD3EB3"/>
    <w:rsid w:val="00BD46C6"/>
    <w:rsid w:val="00BD5932"/>
    <w:rsid w:val="00BD6CA8"/>
    <w:rsid w:val="00BE0959"/>
    <w:rsid w:val="00BE097C"/>
    <w:rsid w:val="00BE1E11"/>
    <w:rsid w:val="00BE289B"/>
    <w:rsid w:val="00BE2FC3"/>
    <w:rsid w:val="00BE35BD"/>
    <w:rsid w:val="00BE3BDD"/>
    <w:rsid w:val="00BE3C13"/>
    <w:rsid w:val="00BE440E"/>
    <w:rsid w:val="00BE5917"/>
    <w:rsid w:val="00BE6142"/>
    <w:rsid w:val="00BE7E9A"/>
    <w:rsid w:val="00BF0344"/>
    <w:rsid w:val="00BF18C8"/>
    <w:rsid w:val="00BF1FD4"/>
    <w:rsid w:val="00BF3460"/>
    <w:rsid w:val="00BF4262"/>
    <w:rsid w:val="00BF520D"/>
    <w:rsid w:val="00BF54D0"/>
    <w:rsid w:val="00BF693B"/>
    <w:rsid w:val="00BF7112"/>
    <w:rsid w:val="00BF794E"/>
    <w:rsid w:val="00BF7AAC"/>
    <w:rsid w:val="00BF7B49"/>
    <w:rsid w:val="00BF7D2A"/>
    <w:rsid w:val="00C01964"/>
    <w:rsid w:val="00C01B39"/>
    <w:rsid w:val="00C02213"/>
    <w:rsid w:val="00C02537"/>
    <w:rsid w:val="00C031E7"/>
    <w:rsid w:val="00C04F57"/>
    <w:rsid w:val="00C05560"/>
    <w:rsid w:val="00C062C8"/>
    <w:rsid w:val="00C067F9"/>
    <w:rsid w:val="00C1042F"/>
    <w:rsid w:val="00C10575"/>
    <w:rsid w:val="00C1067A"/>
    <w:rsid w:val="00C109B2"/>
    <w:rsid w:val="00C10F96"/>
    <w:rsid w:val="00C11078"/>
    <w:rsid w:val="00C11A55"/>
    <w:rsid w:val="00C1286C"/>
    <w:rsid w:val="00C12C85"/>
    <w:rsid w:val="00C12E5A"/>
    <w:rsid w:val="00C13148"/>
    <w:rsid w:val="00C134A4"/>
    <w:rsid w:val="00C13E1E"/>
    <w:rsid w:val="00C1487C"/>
    <w:rsid w:val="00C14976"/>
    <w:rsid w:val="00C150EE"/>
    <w:rsid w:val="00C15663"/>
    <w:rsid w:val="00C159FC"/>
    <w:rsid w:val="00C1727E"/>
    <w:rsid w:val="00C17374"/>
    <w:rsid w:val="00C17A96"/>
    <w:rsid w:val="00C17E29"/>
    <w:rsid w:val="00C17FF9"/>
    <w:rsid w:val="00C2069F"/>
    <w:rsid w:val="00C206D3"/>
    <w:rsid w:val="00C21A0C"/>
    <w:rsid w:val="00C21D72"/>
    <w:rsid w:val="00C22EC2"/>
    <w:rsid w:val="00C2318C"/>
    <w:rsid w:val="00C236E1"/>
    <w:rsid w:val="00C2591B"/>
    <w:rsid w:val="00C276AC"/>
    <w:rsid w:val="00C30624"/>
    <w:rsid w:val="00C31FBE"/>
    <w:rsid w:val="00C3290F"/>
    <w:rsid w:val="00C32AF5"/>
    <w:rsid w:val="00C33066"/>
    <w:rsid w:val="00C33237"/>
    <w:rsid w:val="00C33C95"/>
    <w:rsid w:val="00C34263"/>
    <w:rsid w:val="00C34C54"/>
    <w:rsid w:val="00C34E97"/>
    <w:rsid w:val="00C34FE5"/>
    <w:rsid w:val="00C355BB"/>
    <w:rsid w:val="00C359C6"/>
    <w:rsid w:val="00C35EE5"/>
    <w:rsid w:val="00C36745"/>
    <w:rsid w:val="00C36866"/>
    <w:rsid w:val="00C4033D"/>
    <w:rsid w:val="00C40786"/>
    <w:rsid w:val="00C41BE4"/>
    <w:rsid w:val="00C4232E"/>
    <w:rsid w:val="00C4266C"/>
    <w:rsid w:val="00C42D36"/>
    <w:rsid w:val="00C4344D"/>
    <w:rsid w:val="00C438D7"/>
    <w:rsid w:val="00C44669"/>
    <w:rsid w:val="00C44E16"/>
    <w:rsid w:val="00C46009"/>
    <w:rsid w:val="00C460CD"/>
    <w:rsid w:val="00C46444"/>
    <w:rsid w:val="00C466A6"/>
    <w:rsid w:val="00C4677A"/>
    <w:rsid w:val="00C46D6E"/>
    <w:rsid w:val="00C470C7"/>
    <w:rsid w:val="00C473E9"/>
    <w:rsid w:val="00C47BFB"/>
    <w:rsid w:val="00C50977"/>
    <w:rsid w:val="00C50D8E"/>
    <w:rsid w:val="00C513E6"/>
    <w:rsid w:val="00C51A41"/>
    <w:rsid w:val="00C523DE"/>
    <w:rsid w:val="00C52CA9"/>
    <w:rsid w:val="00C54271"/>
    <w:rsid w:val="00C55068"/>
    <w:rsid w:val="00C574DE"/>
    <w:rsid w:val="00C578EF"/>
    <w:rsid w:val="00C57C89"/>
    <w:rsid w:val="00C604E0"/>
    <w:rsid w:val="00C61DC4"/>
    <w:rsid w:val="00C62705"/>
    <w:rsid w:val="00C62929"/>
    <w:rsid w:val="00C629EC"/>
    <w:rsid w:val="00C62C09"/>
    <w:rsid w:val="00C62CFA"/>
    <w:rsid w:val="00C648A4"/>
    <w:rsid w:val="00C65A72"/>
    <w:rsid w:val="00C65C4F"/>
    <w:rsid w:val="00C65CCC"/>
    <w:rsid w:val="00C660E1"/>
    <w:rsid w:val="00C67974"/>
    <w:rsid w:val="00C705E5"/>
    <w:rsid w:val="00C7217E"/>
    <w:rsid w:val="00C735F3"/>
    <w:rsid w:val="00C73788"/>
    <w:rsid w:val="00C74148"/>
    <w:rsid w:val="00C769DC"/>
    <w:rsid w:val="00C772E2"/>
    <w:rsid w:val="00C80329"/>
    <w:rsid w:val="00C80EF5"/>
    <w:rsid w:val="00C82701"/>
    <w:rsid w:val="00C83186"/>
    <w:rsid w:val="00C843D3"/>
    <w:rsid w:val="00C843E7"/>
    <w:rsid w:val="00C85BCF"/>
    <w:rsid w:val="00C86402"/>
    <w:rsid w:val="00C87B10"/>
    <w:rsid w:val="00C87D6E"/>
    <w:rsid w:val="00C91E9E"/>
    <w:rsid w:val="00C938A7"/>
    <w:rsid w:val="00C939DE"/>
    <w:rsid w:val="00C93CF0"/>
    <w:rsid w:val="00C93EB5"/>
    <w:rsid w:val="00C9469F"/>
    <w:rsid w:val="00C946BD"/>
    <w:rsid w:val="00C94757"/>
    <w:rsid w:val="00C94785"/>
    <w:rsid w:val="00C94D4E"/>
    <w:rsid w:val="00C9719A"/>
    <w:rsid w:val="00C97EE8"/>
    <w:rsid w:val="00CA2EEE"/>
    <w:rsid w:val="00CA4F05"/>
    <w:rsid w:val="00CA50E7"/>
    <w:rsid w:val="00CA5315"/>
    <w:rsid w:val="00CA5CE4"/>
    <w:rsid w:val="00CA5DC0"/>
    <w:rsid w:val="00CA5EB0"/>
    <w:rsid w:val="00CB0FE3"/>
    <w:rsid w:val="00CB1473"/>
    <w:rsid w:val="00CB301F"/>
    <w:rsid w:val="00CB4C5E"/>
    <w:rsid w:val="00CB52A2"/>
    <w:rsid w:val="00CB6106"/>
    <w:rsid w:val="00CB7CBD"/>
    <w:rsid w:val="00CC0516"/>
    <w:rsid w:val="00CC060C"/>
    <w:rsid w:val="00CC06C0"/>
    <w:rsid w:val="00CC0F81"/>
    <w:rsid w:val="00CC2CA0"/>
    <w:rsid w:val="00CC4AB3"/>
    <w:rsid w:val="00CC54CE"/>
    <w:rsid w:val="00CC7DF6"/>
    <w:rsid w:val="00CD0A11"/>
    <w:rsid w:val="00CD0E82"/>
    <w:rsid w:val="00CD2F87"/>
    <w:rsid w:val="00CD5257"/>
    <w:rsid w:val="00CD671D"/>
    <w:rsid w:val="00CD7740"/>
    <w:rsid w:val="00CD7AF9"/>
    <w:rsid w:val="00CE1065"/>
    <w:rsid w:val="00CE2039"/>
    <w:rsid w:val="00CE248B"/>
    <w:rsid w:val="00CE3518"/>
    <w:rsid w:val="00CE3CDC"/>
    <w:rsid w:val="00CE418A"/>
    <w:rsid w:val="00CE6A4F"/>
    <w:rsid w:val="00CE73EE"/>
    <w:rsid w:val="00CF05E4"/>
    <w:rsid w:val="00CF0C04"/>
    <w:rsid w:val="00CF1ABE"/>
    <w:rsid w:val="00CF206A"/>
    <w:rsid w:val="00CF254F"/>
    <w:rsid w:val="00CF2CC9"/>
    <w:rsid w:val="00CF3854"/>
    <w:rsid w:val="00CF3959"/>
    <w:rsid w:val="00CF44A5"/>
    <w:rsid w:val="00CF6A52"/>
    <w:rsid w:val="00D00D2D"/>
    <w:rsid w:val="00D01E5A"/>
    <w:rsid w:val="00D02284"/>
    <w:rsid w:val="00D025E8"/>
    <w:rsid w:val="00D02A05"/>
    <w:rsid w:val="00D03001"/>
    <w:rsid w:val="00D03FFC"/>
    <w:rsid w:val="00D04233"/>
    <w:rsid w:val="00D04D23"/>
    <w:rsid w:val="00D0751E"/>
    <w:rsid w:val="00D1000C"/>
    <w:rsid w:val="00D1019D"/>
    <w:rsid w:val="00D10CA5"/>
    <w:rsid w:val="00D12E78"/>
    <w:rsid w:val="00D1632C"/>
    <w:rsid w:val="00D166C3"/>
    <w:rsid w:val="00D179E9"/>
    <w:rsid w:val="00D2172C"/>
    <w:rsid w:val="00D22F77"/>
    <w:rsid w:val="00D232AB"/>
    <w:rsid w:val="00D25A91"/>
    <w:rsid w:val="00D266D3"/>
    <w:rsid w:val="00D27060"/>
    <w:rsid w:val="00D27097"/>
    <w:rsid w:val="00D275AA"/>
    <w:rsid w:val="00D3033C"/>
    <w:rsid w:val="00D30417"/>
    <w:rsid w:val="00D311C1"/>
    <w:rsid w:val="00D3226A"/>
    <w:rsid w:val="00D32DD3"/>
    <w:rsid w:val="00D3303E"/>
    <w:rsid w:val="00D332CF"/>
    <w:rsid w:val="00D33C37"/>
    <w:rsid w:val="00D345FC"/>
    <w:rsid w:val="00D34999"/>
    <w:rsid w:val="00D34FA8"/>
    <w:rsid w:val="00D356CE"/>
    <w:rsid w:val="00D35817"/>
    <w:rsid w:val="00D36A42"/>
    <w:rsid w:val="00D37135"/>
    <w:rsid w:val="00D37788"/>
    <w:rsid w:val="00D40AC7"/>
    <w:rsid w:val="00D40C5D"/>
    <w:rsid w:val="00D41335"/>
    <w:rsid w:val="00D42567"/>
    <w:rsid w:val="00D42F63"/>
    <w:rsid w:val="00D43F95"/>
    <w:rsid w:val="00D449BC"/>
    <w:rsid w:val="00D450A8"/>
    <w:rsid w:val="00D45932"/>
    <w:rsid w:val="00D45B2E"/>
    <w:rsid w:val="00D478FE"/>
    <w:rsid w:val="00D47CD5"/>
    <w:rsid w:val="00D50D76"/>
    <w:rsid w:val="00D511B0"/>
    <w:rsid w:val="00D53740"/>
    <w:rsid w:val="00D537E1"/>
    <w:rsid w:val="00D539DD"/>
    <w:rsid w:val="00D55409"/>
    <w:rsid w:val="00D556C7"/>
    <w:rsid w:val="00D55E2E"/>
    <w:rsid w:val="00D55EA4"/>
    <w:rsid w:val="00D56AE1"/>
    <w:rsid w:val="00D571C7"/>
    <w:rsid w:val="00D57495"/>
    <w:rsid w:val="00D60AD5"/>
    <w:rsid w:val="00D615C0"/>
    <w:rsid w:val="00D62966"/>
    <w:rsid w:val="00D638AB"/>
    <w:rsid w:val="00D645AC"/>
    <w:rsid w:val="00D64848"/>
    <w:rsid w:val="00D64C1D"/>
    <w:rsid w:val="00D66E22"/>
    <w:rsid w:val="00D6723A"/>
    <w:rsid w:val="00D672CC"/>
    <w:rsid w:val="00D67AAB"/>
    <w:rsid w:val="00D7206B"/>
    <w:rsid w:val="00D72C91"/>
    <w:rsid w:val="00D7308A"/>
    <w:rsid w:val="00D7348C"/>
    <w:rsid w:val="00D749D0"/>
    <w:rsid w:val="00D75AF1"/>
    <w:rsid w:val="00D7629B"/>
    <w:rsid w:val="00D767A7"/>
    <w:rsid w:val="00D76B7B"/>
    <w:rsid w:val="00D77527"/>
    <w:rsid w:val="00D8080D"/>
    <w:rsid w:val="00D80ACD"/>
    <w:rsid w:val="00D80FBA"/>
    <w:rsid w:val="00D81E6A"/>
    <w:rsid w:val="00D832EE"/>
    <w:rsid w:val="00D83611"/>
    <w:rsid w:val="00D83A06"/>
    <w:rsid w:val="00D84984"/>
    <w:rsid w:val="00D87DDF"/>
    <w:rsid w:val="00D91652"/>
    <w:rsid w:val="00D921D4"/>
    <w:rsid w:val="00D93810"/>
    <w:rsid w:val="00D94DB2"/>
    <w:rsid w:val="00D95319"/>
    <w:rsid w:val="00D95C15"/>
    <w:rsid w:val="00D963D8"/>
    <w:rsid w:val="00D97D4E"/>
    <w:rsid w:val="00DA0207"/>
    <w:rsid w:val="00DA04DF"/>
    <w:rsid w:val="00DA0D12"/>
    <w:rsid w:val="00DA0ED1"/>
    <w:rsid w:val="00DA151A"/>
    <w:rsid w:val="00DA1D2F"/>
    <w:rsid w:val="00DA1DFB"/>
    <w:rsid w:val="00DA224D"/>
    <w:rsid w:val="00DA2EC7"/>
    <w:rsid w:val="00DA3E8A"/>
    <w:rsid w:val="00DA5147"/>
    <w:rsid w:val="00DA51D7"/>
    <w:rsid w:val="00DA56C9"/>
    <w:rsid w:val="00DA5FA4"/>
    <w:rsid w:val="00DA7B53"/>
    <w:rsid w:val="00DA7CD1"/>
    <w:rsid w:val="00DB09FA"/>
    <w:rsid w:val="00DB0DBC"/>
    <w:rsid w:val="00DB397D"/>
    <w:rsid w:val="00DB5050"/>
    <w:rsid w:val="00DB7087"/>
    <w:rsid w:val="00DC0147"/>
    <w:rsid w:val="00DC11EA"/>
    <w:rsid w:val="00DC1207"/>
    <w:rsid w:val="00DC2790"/>
    <w:rsid w:val="00DC2E96"/>
    <w:rsid w:val="00DC313C"/>
    <w:rsid w:val="00DC4A88"/>
    <w:rsid w:val="00DC4AFC"/>
    <w:rsid w:val="00DC58E7"/>
    <w:rsid w:val="00DC78BB"/>
    <w:rsid w:val="00DD0214"/>
    <w:rsid w:val="00DD03A0"/>
    <w:rsid w:val="00DD254A"/>
    <w:rsid w:val="00DD30DD"/>
    <w:rsid w:val="00DD31A3"/>
    <w:rsid w:val="00DD3794"/>
    <w:rsid w:val="00DD43FF"/>
    <w:rsid w:val="00DD4654"/>
    <w:rsid w:val="00DD583B"/>
    <w:rsid w:val="00DD6734"/>
    <w:rsid w:val="00DD69E8"/>
    <w:rsid w:val="00DD6BCE"/>
    <w:rsid w:val="00DD6E1C"/>
    <w:rsid w:val="00DD732C"/>
    <w:rsid w:val="00DD7627"/>
    <w:rsid w:val="00DE035C"/>
    <w:rsid w:val="00DE092C"/>
    <w:rsid w:val="00DE0C49"/>
    <w:rsid w:val="00DE15D3"/>
    <w:rsid w:val="00DE18EF"/>
    <w:rsid w:val="00DE1AE6"/>
    <w:rsid w:val="00DE1DB8"/>
    <w:rsid w:val="00DE2A22"/>
    <w:rsid w:val="00DE3982"/>
    <w:rsid w:val="00DE3C92"/>
    <w:rsid w:val="00DE3FB6"/>
    <w:rsid w:val="00DE4E5C"/>
    <w:rsid w:val="00DE5458"/>
    <w:rsid w:val="00DE6429"/>
    <w:rsid w:val="00DE679D"/>
    <w:rsid w:val="00DE6802"/>
    <w:rsid w:val="00DE7DD9"/>
    <w:rsid w:val="00DF0AB7"/>
    <w:rsid w:val="00DF43B1"/>
    <w:rsid w:val="00DF4598"/>
    <w:rsid w:val="00DF4F40"/>
    <w:rsid w:val="00DF5064"/>
    <w:rsid w:val="00DF63BB"/>
    <w:rsid w:val="00DF7960"/>
    <w:rsid w:val="00DF7B23"/>
    <w:rsid w:val="00DF7B72"/>
    <w:rsid w:val="00E00DEC"/>
    <w:rsid w:val="00E00ED3"/>
    <w:rsid w:val="00E010DC"/>
    <w:rsid w:val="00E01225"/>
    <w:rsid w:val="00E023C7"/>
    <w:rsid w:val="00E03A5A"/>
    <w:rsid w:val="00E03EFA"/>
    <w:rsid w:val="00E03F11"/>
    <w:rsid w:val="00E04BD6"/>
    <w:rsid w:val="00E05B44"/>
    <w:rsid w:val="00E06068"/>
    <w:rsid w:val="00E06BA7"/>
    <w:rsid w:val="00E07A67"/>
    <w:rsid w:val="00E07DA5"/>
    <w:rsid w:val="00E1181C"/>
    <w:rsid w:val="00E121CD"/>
    <w:rsid w:val="00E16609"/>
    <w:rsid w:val="00E1787A"/>
    <w:rsid w:val="00E17F35"/>
    <w:rsid w:val="00E20DD4"/>
    <w:rsid w:val="00E20E0E"/>
    <w:rsid w:val="00E21C43"/>
    <w:rsid w:val="00E21F15"/>
    <w:rsid w:val="00E2207E"/>
    <w:rsid w:val="00E22B19"/>
    <w:rsid w:val="00E246D0"/>
    <w:rsid w:val="00E26506"/>
    <w:rsid w:val="00E2695A"/>
    <w:rsid w:val="00E2779D"/>
    <w:rsid w:val="00E300D9"/>
    <w:rsid w:val="00E31ADA"/>
    <w:rsid w:val="00E31F12"/>
    <w:rsid w:val="00E35F9C"/>
    <w:rsid w:val="00E3600D"/>
    <w:rsid w:val="00E36DB7"/>
    <w:rsid w:val="00E4015C"/>
    <w:rsid w:val="00E41350"/>
    <w:rsid w:val="00E42EC9"/>
    <w:rsid w:val="00E42F77"/>
    <w:rsid w:val="00E43A86"/>
    <w:rsid w:val="00E4676B"/>
    <w:rsid w:val="00E513E2"/>
    <w:rsid w:val="00E53A15"/>
    <w:rsid w:val="00E5699E"/>
    <w:rsid w:val="00E56B85"/>
    <w:rsid w:val="00E56FC8"/>
    <w:rsid w:val="00E57289"/>
    <w:rsid w:val="00E57F3A"/>
    <w:rsid w:val="00E57FA5"/>
    <w:rsid w:val="00E61254"/>
    <w:rsid w:val="00E61F2A"/>
    <w:rsid w:val="00E63613"/>
    <w:rsid w:val="00E63731"/>
    <w:rsid w:val="00E63DBD"/>
    <w:rsid w:val="00E65B23"/>
    <w:rsid w:val="00E668B9"/>
    <w:rsid w:val="00E70034"/>
    <w:rsid w:val="00E70502"/>
    <w:rsid w:val="00E7199C"/>
    <w:rsid w:val="00E71F6D"/>
    <w:rsid w:val="00E7460D"/>
    <w:rsid w:val="00E7484B"/>
    <w:rsid w:val="00E74EAA"/>
    <w:rsid w:val="00E754F8"/>
    <w:rsid w:val="00E75A4C"/>
    <w:rsid w:val="00E75D09"/>
    <w:rsid w:val="00E77262"/>
    <w:rsid w:val="00E777EE"/>
    <w:rsid w:val="00E77AA7"/>
    <w:rsid w:val="00E81102"/>
    <w:rsid w:val="00E81268"/>
    <w:rsid w:val="00E82BC4"/>
    <w:rsid w:val="00E82CA9"/>
    <w:rsid w:val="00E82F5D"/>
    <w:rsid w:val="00E83132"/>
    <w:rsid w:val="00E83290"/>
    <w:rsid w:val="00E83B90"/>
    <w:rsid w:val="00E83D69"/>
    <w:rsid w:val="00E8492D"/>
    <w:rsid w:val="00E84B6F"/>
    <w:rsid w:val="00E84C3C"/>
    <w:rsid w:val="00E858D8"/>
    <w:rsid w:val="00E90603"/>
    <w:rsid w:val="00E9240E"/>
    <w:rsid w:val="00E93113"/>
    <w:rsid w:val="00E933BF"/>
    <w:rsid w:val="00E97381"/>
    <w:rsid w:val="00E97A84"/>
    <w:rsid w:val="00EA0590"/>
    <w:rsid w:val="00EA120E"/>
    <w:rsid w:val="00EA1E92"/>
    <w:rsid w:val="00EA3014"/>
    <w:rsid w:val="00EA46FB"/>
    <w:rsid w:val="00EA5CD4"/>
    <w:rsid w:val="00EA6784"/>
    <w:rsid w:val="00EA7366"/>
    <w:rsid w:val="00EA7B45"/>
    <w:rsid w:val="00EA7F26"/>
    <w:rsid w:val="00EB0669"/>
    <w:rsid w:val="00EB06C6"/>
    <w:rsid w:val="00EB1E89"/>
    <w:rsid w:val="00EB1F45"/>
    <w:rsid w:val="00EB30C8"/>
    <w:rsid w:val="00EB38E6"/>
    <w:rsid w:val="00EB4499"/>
    <w:rsid w:val="00EB756F"/>
    <w:rsid w:val="00EC1A1E"/>
    <w:rsid w:val="00EC20B4"/>
    <w:rsid w:val="00EC3296"/>
    <w:rsid w:val="00EC3338"/>
    <w:rsid w:val="00EC354F"/>
    <w:rsid w:val="00EC3B93"/>
    <w:rsid w:val="00EC4728"/>
    <w:rsid w:val="00EC547E"/>
    <w:rsid w:val="00EC6265"/>
    <w:rsid w:val="00ED0960"/>
    <w:rsid w:val="00ED128B"/>
    <w:rsid w:val="00ED166B"/>
    <w:rsid w:val="00ED1E7D"/>
    <w:rsid w:val="00ED2985"/>
    <w:rsid w:val="00ED299E"/>
    <w:rsid w:val="00ED31DE"/>
    <w:rsid w:val="00ED44B7"/>
    <w:rsid w:val="00ED6742"/>
    <w:rsid w:val="00ED7113"/>
    <w:rsid w:val="00ED72D6"/>
    <w:rsid w:val="00ED7324"/>
    <w:rsid w:val="00ED73C8"/>
    <w:rsid w:val="00EE1829"/>
    <w:rsid w:val="00EE3CD2"/>
    <w:rsid w:val="00EE49A2"/>
    <w:rsid w:val="00EE4A60"/>
    <w:rsid w:val="00EE4FAB"/>
    <w:rsid w:val="00EE502A"/>
    <w:rsid w:val="00EE658C"/>
    <w:rsid w:val="00EE76D2"/>
    <w:rsid w:val="00EF0354"/>
    <w:rsid w:val="00EF047A"/>
    <w:rsid w:val="00EF0B04"/>
    <w:rsid w:val="00EF1630"/>
    <w:rsid w:val="00EF182C"/>
    <w:rsid w:val="00EF1E85"/>
    <w:rsid w:val="00EF2AEF"/>
    <w:rsid w:val="00EF5BC5"/>
    <w:rsid w:val="00EF5C48"/>
    <w:rsid w:val="00EF5CBA"/>
    <w:rsid w:val="00EF5CD4"/>
    <w:rsid w:val="00EF627A"/>
    <w:rsid w:val="00EF693A"/>
    <w:rsid w:val="00EF6A07"/>
    <w:rsid w:val="00EF7D49"/>
    <w:rsid w:val="00F00993"/>
    <w:rsid w:val="00F009DB"/>
    <w:rsid w:val="00F00B52"/>
    <w:rsid w:val="00F00E34"/>
    <w:rsid w:val="00F01CFE"/>
    <w:rsid w:val="00F028DA"/>
    <w:rsid w:val="00F02FD4"/>
    <w:rsid w:val="00F04DD0"/>
    <w:rsid w:val="00F05BF8"/>
    <w:rsid w:val="00F05F7E"/>
    <w:rsid w:val="00F071F3"/>
    <w:rsid w:val="00F073B1"/>
    <w:rsid w:val="00F10137"/>
    <w:rsid w:val="00F11076"/>
    <w:rsid w:val="00F110CB"/>
    <w:rsid w:val="00F11607"/>
    <w:rsid w:val="00F119DA"/>
    <w:rsid w:val="00F12367"/>
    <w:rsid w:val="00F12B5C"/>
    <w:rsid w:val="00F1358A"/>
    <w:rsid w:val="00F13FBD"/>
    <w:rsid w:val="00F14163"/>
    <w:rsid w:val="00F15349"/>
    <w:rsid w:val="00F200B3"/>
    <w:rsid w:val="00F20777"/>
    <w:rsid w:val="00F20A5C"/>
    <w:rsid w:val="00F20C2A"/>
    <w:rsid w:val="00F21007"/>
    <w:rsid w:val="00F21790"/>
    <w:rsid w:val="00F22AC3"/>
    <w:rsid w:val="00F235C8"/>
    <w:rsid w:val="00F26B45"/>
    <w:rsid w:val="00F27E1E"/>
    <w:rsid w:val="00F312C0"/>
    <w:rsid w:val="00F32552"/>
    <w:rsid w:val="00F34B06"/>
    <w:rsid w:val="00F34E0C"/>
    <w:rsid w:val="00F35C95"/>
    <w:rsid w:val="00F35CB3"/>
    <w:rsid w:val="00F3611F"/>
    <w:rsid w:val="00F36B41"/>
    <w:rsid w:val="00F36C0A"/>
    <w:rsid w:val="00F37383"/>
    <w:rsid w:val="00F37EED"/>
    <w:rsid w:val="00F4111C"/>
    <w:rsid w:val="00F41FB2"/>
    <w:rsid w:val="00F430BB"/>
    <w:rsid w:val="00F4355A"/>
    <w:rsid w:val="00F44F35"/>
    <w:rsid w:val="00F450C3"/>
    <w:rsid w:val="00F45D90"/>
    <w:rsid w:val="00F5208F"/>
    <w:rsid w:val="00F52904"/>
    <w:rsid w:val="00F53304"/>
    <w:rsid w:val="00F5361F"/>
    <w:rsid w:val="00F53B39"/>
    <w:rsid w:val="00F54608"/>
    <w:rsid w:val="00F54898"/>
    <w:rsid w:val="00F55164"/>
    <w:rsid w:val="00F5525D"/>
    <w:rsid w:val="00F5584B"/>
    <w:rsid w:val="00F56405"/>
    <w:rsid w:val="00F56713"/>
    <w:rsid w:val="00F600D3"/>
    <w:rsid w:val="00F60766"/>
    <w:rsid w:val="00F60E63"/>
    <w:rsid w:val="00F61A95"/>
    <w:rsid w:val="00F630C8"/>
    <w:rsid w:val="00F63136"/>
    <w:rsid w:val="00F631BF"/>
    <w:rsid w:val="00F647B0"/>
    <w:rsid w:val="00F64EB5"/>
    <w:rsid w:val="00F6567D"/>
    <w:rsid w:val="00F66581"/>
    <w:rsid w:val="00F66A8D"/>
    <w:rsid w:val="00F67AC5"/>
    <w:rsid w:val="00F71664"/>
    <w:rsid w:val="00F7287B"/>
    <w:rsid w:val="00F728DF"/>
    <w:rsid w:val="00F72D05"/>
    <w:rsid w:val="00F751C1"/>
    <w:rsid w:val="00F77FDB"/>
    <w:rsid w:val="00F801D7"/>
    <w:rsid w:val="00F815C3"/>
    <w:rsid w:val="00F82EE2"/>
    <w:rsid w:val="00F83942"/>
    <w:rsid w:val="00F83C7B"/>
    <w:rsid w:val="00F83DA2"/>
    <w:rsid w:val="00F83DA5"/>
    <w:rsid w:val="00F83ED8"/>
    <w:rsid w:val="00F85786"/>
    <w:rsid w:val="00F86E88"/>
    <w:rsid w:val="00F8782F"/>
    <w:rsid w:val="00F900F1"/>
    <w:rsid w:val="00F90130"/>
    <w:rsid w:val="00F908D3"/>
    <w:rsid w:val="00F908FA"/>
    <w:rsid w:val="00F90B9E"/>
    <w:rsid w:val="00F92FAC"/>
    <w:rsid w:val="00F93243"/>
    <w:rsid w:val="00F93BFF"/>
    <w:rsid w:val="00F94080"/>
    <w:rsid w:val="00F94245"/>
    <w:rsid w:val="00F94463"/>
    <w:rsid w:val="00F946A3"/>
    <w:rsid w:val="00F94B98"/>
    <w:rsid w:val="00F94BAB"/>
    <w:rsid w:val="00F95721"/>
    <w:rsid w:val="00F969FA"/>
    <w:rsid w:val="00F96C35"/>
    <w:rsid w:val="00F96F8E"/>
    <w:rsid w:val="00F97B56"/>
    <w:rsid w:val="00FA1361"/>
    <w:rsid w:val="00FA281C"/>
    <w:rsid w:val="00FA4029"/>
    <w:rsid w:val="00FA43CA"/>
    <w:rsid w:val="00FA59F1"/>
    <w:rsid w:val="00FB0005"/>
    <w:rsid w:val="00FB0E28"/>
    <w:rsid w:val="00FB12ED"/>
    <w:rsid w:val="00FB2094"/>
    <w:rsid w:val="00FB4407"/>
    <w:rsid w:val="00FB48DA"/>
    <w:rsid w:val="00FB4D67"/>
    <w:rsid w:val="00FB58CF"/>
    <w:rsid w:val="00FB5B02"/>
    <w:rsid w:val="00FB6239"/>
    <w:rsid w:val="00FC0DCA"/>
    <w:rsid w:val="00FC1482"/>
    <w:rsid w:val="00FC2065"/>
    <w:rsid w:val="00FC2512"/>
    <w:rsid w:val="00FC2569"/>
    <w:rsid w:val="00FC39A9"/>
    <w:rsid w:val="00FC53B0"/>
    <w:rsid w:val="00FC57E8"/>
    <w:rsid w:val="00FC636D"/>
    <w:rsid w:val="00FC666E"/>
    <w:rsid w:val="00FC68C9"/>
    <w:rsid w:val="00FC6BD3"/>
    <w:rsid w:val="00FC7D77"/>
    <w:rsid w:val="00FC7DBF"/>
    <w:rsid w:val="00FD0C53"/>
    <w:rsid w:val="00FD0DED"/>
    <w:rsid w:val="00FD180C"/>
    <w:rsid w:val="00FD1F8F"/>
    <w:rsid w:val="00FD225F"/>
    <w:rsid w:val="00FD252D"/>
    <w:rsid w:val="00FD2C46"/>
    <w:rsid w:val="00FD2E07"/>
    <w:rsid w:val="00FD307A"/>
    <w:rsid w:val="00FD50D4"/>
    <w:rsid w:val="00FD5E7F"/>
    <w:rsid w:val="00FD5F04"/>
    <w:rsid w:val="00FD6E3C"/>
    <w:rsid w:val="00FE30EC"/>
    <w:rsid w:val="00FE3572"/>
    <w:rsid w:val="00FE4483"/>
    <w:rsid w:val="00FE6D2F"/>
    <w:rsid w:val="00FE7FEA"/>
    <w:rsid w:val="00FF011E"/>
    <w:rsid w:val="00FF04FF"/>
    <w:rsid w:val="00FF0B83"/>
    <w:rsid w:val="00FF1C6B"/>
    <w:rsid w:val="00FF354D"/>
    <w:rsid w:val="00FF4407"/>
    <w:rsid w:val="00FF440B"/>
    <w:rsid w:val="00FF4AE6"/>
    <w:rsid w:val="00FF4C10"/>
    <w:rsid w:val="00FF4E53"/>
    <w:rsid w:val="00FF533C"/>
    <w:rsid w:val="00FF53F8"/>
    <w:rsid w:val="00FF5575"/>
    <w:rsid w:val="00FF5910"/>
    <w:rsid w:val="00FF66F7"/>
    <w:rsid w:val="00FF6766"/>
    <w:rsid w:val="00FF78A7"/>
    <w:rsid w:val="00FF7E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52"/>
    <w:pPr>
      <w:spacing w:after="0" w:line="240" w:lineRule="auto"/>
      <w:ind w:firstLine="709"/>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9"/>
    <w:qFormat/>
    <w:rsid w:val="009D1752"/>
    <w:pPr>
      <w:keepNext/>
      <w:ind w:firstLine="0"/>
      <w:jc w:val="both"/>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9D1752"/>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uiPriority w:val="99"/>
    <w:rsid w:val="009D1752"/>
    <w:pPr>
      <w:spacing w:after="120"/>
      <w:ind w:left="283" w:firstLine="0"/>
    </w:pPr>
  </w:style>
  <w:style w:type="character" w:customStyle="1" w:styleId="GvdeMetniGirintisiChar">
    <w:name w:val="Gövde Metni Girintisi Char"/>
    <w:basedOn w:val="VarsaylanParagrafYazTipi"/>
    <w:link w:val="GvdeMetniGirintisi"/>
    <w:uiPriority w:val="99"/>
    <w:rsid w:val="009D1752"/>
    <w:rPr>
      <w:rFonts w:ascii="Times New Roman" w:eastAsia="Times New Roman" w:hAnsi="Times New Roman" w:cs="Times New Roman"/>
      <w:sz w:val="24"/>
      <w:szCs w:val="24"/>
      <w:lang w:eastAsia="tr-TR"/>
    </w:rPr>
  </w:style>
  <w:style w:type="paragraph" w:customStyle="1" w:styleId="FR1">
    <w:name w:val="FR1"/>
    <w:rsid w:val="009D1752"/>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9D1752"/>
    <w:pPr>
      <w:tabs>
        <w:tab w:val="center" w:pos="4536"/>
        <w:tab w:val="right" w:pos="9072"/>
      </w:tabs>
    </w:pPr>
  </w:style>
  <w:style w:type="character" w:customStyle="1" w:styleId="AltbilgiChar">
    <w:name w:val="Altbilgi Char"/>
    <w:basedOn w:val="VarsaylanParagrafYazTipi"/>
    <w:link w:val="Altbilgi"/>
    <w:uiPriority w:val="99"/>
    <w:rsid w:val="009D1752"/>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D1752"/>
    <w:rPr>
      <w:rFonts w:cs="Times New Roman"/>
    </w:rPr>
  </w:style>
  <w:style w:type="paragraph" w:styleId="ListeParagraf">
    <w:name w:val="List Paragraph"/>
    <w:basedOn w:val="Normal"/>
    <w:uiPriority w:val="99"/>
    <w:qFormat/>
    <w:rsid w:val="009D1752"/>
    <w:pPr>
      <w:ind w:left="720"/>
      <w:contextualSpacing/>
    </w:pPr>
  </w:style>
  <w:style w:type="paragraph" w:customStyle="1" w:styleId="Normal0">
    <w:name w:val="[Normal]"/>
    <w:rsid w:val="009D1752"/>
    <w:pPr>
      <w:autoSpaceDE w:val="0"/>
      <w:autoSpaceDN w:val="0"/>
      <w:adjustRightInd w:val="0"/>
      <w:spacing w:after="0" w:line="240" w:lineRule="auto"/>
    </w:pPr>
    <w:rPr>
      <w:rFonts w:ascii="Arial" w:eastAsia="Times New Roman" w:hAnsi="Arial" w:cs="Arial"/>
      <w:sz w:val="24"/>
      <w:szCs w:val="24"/>
      <w:lang w:eastAsia="tr-TR"/>
    </w:rPr>
  </w:style>
  <w:style w:type="character" w:styleId="Vurgu">
    <w:name w:val="Emphasis"/>
    <w:basedOn w:val="VarsaylanParagrafYazTipi"/>
    <w:uiPriority w:val="20"/>
    <w:qFormat/>
    <w:rsid w:val="009D1752"/>
    <w:rPr>
      <w:b/>
      <w:bCs/>
      <w:i w:val="0"/>
      <w:iCs w:val="0"/>
    </w:rPr>
  </w:style>
  <w:style w:type="character" w:styleId="AklamaBavurusu">
    <w:name w:val="annotation reference"/>
    <w:basedOn w:val="VarsaylanParagrafYazTipi"/>
    <w:uiPriority w:val="99"/>
    <w:semiHidden/>
    <w:unhideWhenUsed/>
    <w:rsid w:val="009D1752"/>
    <w:rPr>
      <w:sz w:val="16"/>
      <w:szCs w:val="16"/>
    </w:rPr>
  </w:style>
  <w:style w:type="paragraph" w:styleId="AklamaMetni">
    <w:name w:val="annotation text"/>
    <w:basedOn w:val="Normal"/>
    <w:link w:val="AklamaMetniChar"/>
    <w:uiPriority w:val="99"/>
    <w:semiHidden/>
    <w:unhideWhenUsed/>
    <w:rsid w:val="009D1752"/>
    <w:rPr>
      <w:sz w:val="20"/>
      <w:szCs w:val="20"/>
    </w:rPr>
  </w:style>
  <w:style w:type="character" w:customStyle="1" w:styleId="AklamaMetniChar">
    <w:name w:val="Açıklama Metni Char"/>
    <w:basedOn w:val="VarsaylanParagrafYazTipi"/>
    <w:link w:val="AklamaMetni"/>
    <w:uiPriority w:val="99"/>
    <w:semiHidden/>
    <w:rsid w:val="009D175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D1752"/>
    <w:rPr>
      <w:rFonts w:ascii="Tahoma" w:hAnsi="Tahoma" w:cs="Tahoma"/>
      <w:sz w:val="16"/>
      <w:szCs w:val="16"/>
    </w:rPr>
  </w:style>
  <w:style w:type="character" w:customStyle="1" w:styleId="BalonMetniChar">
    <w:name w:val="Balon Metni Char"/>
    <w:basedOn w:val="VarsaylanParagrafYazTipi"/>
    <w:link w:val="BalonMetni"/>
    <w:uiPriority w:val="99"/>
    <w:semiHidden/>
    <w:rsid w:val="009D1752"/>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391364"/>
    <w:rPr>
      <w:sz w:val="20"/>
      <w:szCs w:val="20"/>
    </w:rPr>
  </w:style>
  <w:style w:type="character" w:customStyle="1" w:styleId="DipnotMetniChar">
    <w:name w:val="Dipnot Metni Char"/>
    <w:basedOn w:val="VarsaylanParagrafYazTipi"/>
    <w:link w:val="DipnotMetni"/>
    <w:uiPriority w:val="99"/>
    <w:semiHidden/>
    <w:rsid w:val="0039136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91364"/>
    <w:rPr>
      <w:vertAlign w:val="superscript"/>
    </w:rPr>
  </w:style>
  <w:style w:type="paragraph" w:customStyle="1" w:styleId="JuPara">
    <w:name w:val="Ju_Para"/>
    <w:aliases w:val="Left,First line:  0 cm"/>
    <w:basedOn w:val="Normal"/>
    <w:link w:val="JuParaChar"/>
    <w:rsid w:val="00D6723A"/>
    <w:pPr>
      <w:autoSpaceDE w:val="0"/>
      <w:autoSpaceDN w:val="0"/>
      <w:ind w:firstLine="284"/>
      <w:jc w:val="both"/>
    </w:pPr>
    <w:rPr>
      <w:lang w:eastAsia="en-US"/>
    </w:rPr>
  </w:style>
  <w:style w:type="character" w:customStyle="1" w:styleId="ju-005fpara-0020char--char">
    <w:name w:val="ju-005fpara-0020char--char"/>
    <w:basedOn w:val="VarsaylanParagrafYazTipi"/>
    <w:rsid w:val="005077DD"/>
  </w:style>
  <w:style w:type="paragraph" w:styleId="HTMLncedenBiimlendirilmi">
    <w:name w:val="HTML Preformatted"/>
    <w:basedOn w:val="Normal"/>
    <w:link w:val="HTMLncedenBiimlendirilmiChar"/>
    <w:uiPriority w:val="99"/>
    <w:unhideWhenUsed/>
    <w:rsid w:val="0040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04F87"/>
    <w:rPr>
      <w:rFonts w:ascii="Courier New" w:eastAsia="Times New Roman" w:hAnsi="Courier New" w:cs="Courier New"/>
      <w:sz w:val="20"/>
      <w:szCs w:val="20"/>
      <w:lang w:eastAsia="tr-TR"/>
    </w:rPr>
  </w:style>
  <w:style w:type="character" w:customStyle="1" w:styleId="JuParaChar">
    <w:name w:val="Ju_Para Char"/>
    <w:basedOn w:val="VarsaylanParagrafYazTipi"/>
    <w:link w:val="JuPara"/>
    <w:rsid w:val="0029748F"/>
    <w:rPr>
      <w:rFonts w:ascii="Times New Roman" w:eastAsia="Times New Roman" w:hAnsi="Times New Roman" w:cs="Times New Roman"/>
      <w:sz w:val="24"/>
      <w:szCs w:val="24"/>
    </w:rPr>
  </w:style>
  <w:style w:type="character" w:styleId="Gl">
    <w:name w:val="Strong"/>
    <w:basedOn w:val="VarsaylanParagrafYazTipi"/>
    <w:uiPriority w:val="22"/>
    <w:qFormat/>
    <w:rsid w:val="00C62C09"/>
    <w:rPr>
      <w:b/>
      <w:bCs/>
    </w:rPr>
  </w:style>
  <w:style w:type="paragraph" w:customStyle="1" w:styleId="JuHIRoman">
    <w:name w:val="Ju_H_I_Roman"/>
    <w:basedOn w:val="Normal"/>
    <w:next w:val="JuPara"/>
    <w:rsid w:val="00A30EC6"/>
    <w:pPr>
      <w:keepNext/>
      <w:keepLines/>
      <w:tabs>
        <w:tab w:val="left" w:pos="357"/>
      </w:tabs>
      <w:suppressAutoHyphens/>
      <w:spacing w:before="360" w:after="240"/>
      <w:ind w:left="357" w:hanging="357"/>
      <w:jc w:val="both"/>
    </w:pPr>
    <w:rPr>
      <w:szCs w:val="20"/>
      <w:lang w:val="en-GB" w:eastAsia="fr-FR"/>
    </w:rPr>
  </w:style>
  <w:style w:type="character" w:customStyle="1" w:styleId="JuParaChar1">
    <w:name w:val="Ju_Para Char1"/>
    <w:basedOn w:val="VarsaylanParagrafYazTipi"/>
    <w:rsid w:val="004F2564"/>
    <w:rPr>
      <w:sz w:val="24"/>
      <w:lang w:val="en-GB" w:eastAsia="fr-FR" w:bidi="ar-SA"/>
    </w:rPr>
  </w:style>
  <w:style w:type="paragraph" w:styleId="NormalWeb">
    <w:name w:val="Normal (Web)"/>
    <w:basedOn w:val="Normal"/>
    <w:unhideWhenUsed/>
    <w:rsid w:val="00A6768D"/>
    <w:pPr>
      <w:ind w:firstLine="0"/>
    </w:pPr>
  </w:style>
  <w:style w:type="paragraph" w:customStyle="1" w:styleId="JuQuot">
    <w:name w:val="Ju_Quot"/>
    <w:basedOn w:val="JuPara"/>
    <w:rsid w:val="00574D2C"/>
    <w:pPr>
      <w:suppressAutoHyphens/>
      <w:autoSpaceDE/>
      <w:autoSpaceDN/>
      <w:spacing w:before="120" w:after="120"/>
      <w:ind w:left="425" w:firstLine="142"/>
    </w:pPr>
    <w:rPr>
      <w:sz w:val="20"/>
      <w:szCs w:val="20"/>
      <w:lang w:val="en-GB" w:eastAsia="fr-FR"/>
    </w:rPr>
  </w:style>
  <w:style w:type="character" w:customStyle="1" w:styleId="st1">
    <w:name w:val="st1"/>
    <w:basedOn w:val="VarsaylanParagrafYazTipi"/>
    <w:rsid w:val="00054BB8"/>
  </w:style>
</w:styles>
</file>

<file path=word/webSettings.xml><?xml version="1.0" encoding="utf-8"?>
<w:webSettings xmlns:r="http://schemas.openxmlformats.org/officeDocument/2006/relationships" xmlns:w="http://schemas.openxmlformats.org/wordprocessingml/2006/main">
  <w:divs>
    <w:div w:id="462963216">
      <w:bodyDiv w:val="1"/>
      <w:marLeft w:val="0"/>
      <w:marRight w:val="0"/>
      <w:marTop w:val="0"/>
      <w:marBottom w:val="0"/>
      <w:divBdr>
        <w:top w:val="none" w:sz="0" w:space="0" w:color="auto"/>
        <w:left w:val="none" w:sz="0" w:space="0" w:color="auto"/>
        <w:bottom w:val="none" w:sz="0" w:space="0" w:color="auto"/>
        <w:right w:val="none" w:sz="0" w:space="0" w:color="auto"/>
      </w:divBdr>
    </w:div>
    <w:div w:id="1343512528">
      <w:bodyDiv w:val="1"/>
      <w:marLeft w:val="0"/>
      <w:marRight w:val="0"/>
      <w:marTop w:val="0"/>
      <w:marBottom w:val="0"/>
      <w:divBdr>
        <w:top w:val="none" w:sz="0" w:space="0" w:color="auto"/>
        <w:left w:val="none" w:sz="0" w:space="0" w:color="auto"/>
        <w:bottom w:val="none" w:sz="0" w:space="0" w:color="auto"/>
        <w:right w:val="none" w:sz="0" w:space="0" w:color="auto"/>
      </w:divBdr>
      <w:divsChild>
        <w:div w:id="703561559">
          <w:marLeft w:val="0"/>
          <w:marRight w:val="0"/>
          <w:marTop w:val="0"/>
          <w:marBottom w:val="0"/>
          <w:divBdr>
            <w:top w:val="none" w:sz="0" w:space="0" w:color="auto"/>
            <w:left w:val="none" w:sz="0" w:space="0" w:color="auto"/>
            <w:bottom w:val="none" w:sz="0" w:space="0" w:color="auto"/>
            <w:right w:val="none" w:sz="0" w:space="0" w:color="auto"/>
          </w:divBdr>
          <w:divsChild>
            <w:div w:id="844634428">
              <w:marLeft w:val="0"/>
              <w:marRight w:val="0"/>
              <w:marTop w:val="0"/>
              <w:marBottom w:val="0"/>
              <w:divBdr>
                <w:top w:val="none" w:sz="0" w:space="0" w:color="auto"/>
                <w:left w:val="none" w:sz="0" w:space="0" w:color="auto"/>
                <w:bottom w:val="none" w:sz="0" w:space="0" w:color="auto"/>
                <w:right w:val="none" w:sz="0" w:space="0" w:color="auto"/>
              </w:divBdr>
              <w:divsChild>
                <w:div w:id="1857621845">
                  <w:marLeft w:val="0"/>
                  <w:marRight w:val="0"/>
                  <w:marTop w:val="0"/>
                  <w:marBottom w:val="0"/>
                  <w:divBdr>
                    <w:top w:val="none" w:sz="0" w:space="0" w:color="auto"/>
                    <w:left w:val="none" w:sz="0" w:space="0" w:color="auto"/>
                    <w:bottom w:val="none" w:sz="0" w:space="0" w:color="auto"/>
                    <w:right w:val="none" w:sz="0" w:space="0" w:color="auto"/>
                  </w:divBdr>
                  <w:divsChild>
                    <w:div w:id="1848863954">
                      <w:marLeft w:val="0"/>
                      <w:marRight w:val="0"/>
                      <w:marTop w:val="0"/>
                      <w:marBottom w:val="0"/>
                      <w:divBdr>
                        <w:top w:val="none" w:sz="0" w:space="0" w:color="auto"/>
                        <w:left w:val="none" w:sz="0" w:space="0" w:color="auto"/>
                        <w:bottom w:val="none" w:sz="0" w:space="0" w:color="auto"/>
                        <w:right w:val="none" w:sz="0" w:space="0" w:color="auto"/>
                      </w:divBdr>
                      <w:divsChild>
                        <w:div w:id="468864715">
                          <w:marLeft w:val="0"/>
                          <w:marRight w:val="0"/>
                          <w:marTop w:val="0"/>
                          <w:marBottom w:val="0"/>
                          <w:divBdr>
                            <w:top w:val="none" w:sz="0" w:space="0" w:color="auto"/>
                            <w:left w:val="none" w:sz="0" w:space="0" w:color="auto"/>
                            <w:bottom w:val="none" w:sz="0" w:space="0" w:color="auto"/>
                            <w:right w:val="none" w:sz="0" w:space="0" w:color="auto"/>
                          </w:divBdr>
                          <w:divsChild>
                            <w:div w:id="211115786">
                              <w:marLeft w:val="0"/>
                              <w:marRight w:val="0"/>
                              <w:marTop w:val="0"/>
                              <w:marBottom w:val="0"/>
                              <w:divBdr>
                                <w:top w:val="none" w:sz="0" w:space="0" w:color="auto"/>
                                <w:left w:val="none" w:sz="0" w:space="0" w:color="auto"/>
                                <w:bottom w:val="none" w:sz="0" w:space="0" w:color="auto"/>
                                <w:right w:val="none" w:sz="0" w:space="0" w:color="auto"/>
                              </w:divBdr>
                              <w:divsChild>
                                <w:div w:id="2140418295">
                                  <w:marLeft w:val="0"/>
                                  <w:marRight w:val="0"/>
                                  <w:marTop w:val="0"/>
                                  <w:marBottom w:val="0"/>
                                  <w:divBdr>
                                    <w:top w:val="none" w:sz="0" w:space="0" w:color="auto"/>
                                    <w:left w:val="none" w:sz="0" w:space="0" w:color="auto"/>
                                    <w:bottom w:val="none" w:sz="0" w:space="0" w:color="auto"/>
                                    <w:right w:val="none" w:sz="0" w:space="0" w:color="auto"/>
                                  </w:divBdr>
                                  <w:divsChild>
                                    <w:div w:id="64113012">
                                      <w:marLeft w:val="0"/>
                                      <w:marRight w:val="0"/>
                                      <w:marTop w:val="0"/>
                                      <w:marBottom w:val="0"/>
                                      <w:divBdr>
                                        <w:top w:val="none" w:sz="0" w:space="0" w:color="auto"/>
                                        <w:left w:val="none" w:sz="0" w:space="0" w:color="auto"/>
                                        <w:bottom w:val="none" w:sz="0" w:space="0" w:color="auto"/>
                                        <w:right w:val="none" w:sz="0" w:space="0" w:color="auto"/>
                                      </w:divBdr>
                                      <w:divsChild>
                                        <w:div w:id="2014916585">
                                          <w:marLeft w:val="0"/>
                                          <w:marRight w:val="0"/>
                                          <w:marTop w:val="0"/>
                                          <w:marBottom w:val="0"/>
                                          <w:divBdr>
                                            <w:top w:val="none" w:sz="0" w:space="0" w:color="auto"/>
                                            <w:left w:val="none" w:sz="0" w:space="0" w:color="auto"/>
                                            <w:bottom w:val="none" w:sz="0" w:space="0" w:color="auto"/>
                                            <w:right w:val="none" w:sz="0" w:space="0" w:color="auto"/>
                                          </w:divBdr>
                                          <w:divsChild>
                                            <w:div w:id="729885699">
                                              <w:marLeft w:val="0"/>
                                              <w:marRight w:val="0"/>
                                              <w:marTop w:val="0"/>
                                              <w:marBottom w:val="0"/>
                                              <w:divBdr>
                                                <w:top w:val="none" w:sz="0" w:space="0" w:color="auto"/>
                                                <w:left w:val="none" w:sz="0" w:space="0" w:color="auto"/>
                                                <w:bottom w:val="none" w:sz="0" w:space="0" w:color="auto"/>
                                                <w:right w:val="none" w:sz="0" w:space="0" w:color="auto"/>
                                              </w:divBdr>
                                              <w:divsChild>
                                                <w:div w:id="17934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05958">
      <w:bodyDiv w:val="1"/>
      <w:marLeft w:val="0"/>
      <w:marRight w:val="0"/>
      <w:marTop w:val="0"/>
      <w:marBottom w:val="0"/>
      <w:divBdr>
        <w:top w:val="none" w:sz="0" w:space="0" w:color="auto"/>
        <w:left w:val="none" w:sz="0" w:space="0" w:color="auto"/>
        <w:bottom w:val="none" w:sz="0" w:space="0" w:color="auto"/>
        <w:right w:val="none" w:sz="0" w:space="0" w:color="auto"/>
      </w:divBdr>
      <w:divsChild>
        <w:div w:id="994142487">
          <w:marLeft w:val="0"/>
          <w:marRight w:val="0"/>
          <w:marTop w:val="0"/>
          <w:marBottom w:val="0"/>
          <w:divBdr>
            <w:top w:val="none" w:sz="0" w:space="0" w:color="auto"/>
            <w:left w:val="none" w:sz="0" w:space="0" w:color="auto"/>
            <w:bottom w:val="none" w:sz="0" w:space="0" w:color="auto"/>
            <w:right w:val="none" w:sz="0" w:space="0" w:color="auto"/>
          </w:divBdr>
          <w:divsChild>
            <w:div w:id="159515603">
              <w:marLeft w:val="0"/>
              <w:marRight w:val="0"/>
              <w:marTop w:val="0"/>
              <w:marBottom w:val="0"/>
              <w:divBdr>
                <w:top w:val="none" w:sz="0" w:space="0" w:color="auto"/>
                <w:left w:val="none" w:sz="0" w:space="0" w:color="auto"/>
                <w:bottom w:val="none" w:sz="0" w:space="0" w:color="auto"/>
                <w:right w:val="none" w:sz="0" w:space="0" w:color="auto"/>
              </w:divBdr>
              <w:divsChild>
                <w:div w:id="1846820862">
                  <w:marLeft w:val="0"/>
                  <w:marRight w:val="0"/>
                  <w:marTop w:val="0"/>
                  <w:marBottom w:val="0"/>
                  <w:divBdr>
                    <w:top w:val="none" w:sz="0" w:space="0" w:color="auto"/>
                    <w:left w:val="none" w:sz="0" w:space="0" w:color="auto"/>
                    <w:bottom w:val="none" w:sz="0" w:space="0" w:color="auto"/>
                    <w:right w:val="none" w:sz="0" w:space="0" w:color="auto"/>
                  </w:divBdr>
                  <w:divsChild>
                    <w:div w:id="1449425358">
                      <w:marLeft w:val="0"/>
                      <w:marRight w:val="0"/>
                      <w:marTop w:val="0"/>
                      <w:marBottom w:val="0"/>
                      <w:divBdr>
                        <w:top w:val="none" w:sz="0" w:space="0" w:color="auto"/>
                        <w:left w:val="none" w:sz="0" w:space="0" w:color="auto"/>
                        <w:bottom w:val="none" w:sz="0" w:space="0" w:color="auto"/>
                        <w:right w:val="none" w:sz="0" w:space="0" w:color="auto"/>
                      </w:divBdr>
                      <w:divsChild>
                        <w:div w:id="1505588861">
                          <w:marLeft w:val="0"/>
                          <w:marRight w:val="0"/>
                          <w:marTop w:val="0"/>
                          <w:marBottom w:val="0"/>
                          <w:divBdr>
                            <w:top w:val="none" w:sz="0" w:space="0" w:color="auto"/>
                            <w:left w:val="none" w:sz="0" w:space="0" w:color="auto"/>
                            <w:bottom w:val="none" w:sz="0" w:space="0" w:color="auto"/>
                            <w:right w:val="none" w:sz="0" w:space="0" w:color="auto"/>
                          </w:divBdr>
                          <w:divsChild>
                            <w:div w:id="169607234">
                              <w:marLeft w:val="0"/>
                              <w:marRight w:val="0"/>
                              <w:marTop w:val="0"/>
                              <w:marBottom w:val="0"/>
                              <w:divBdr>
                                <w:top w:val="none" w:sz="0" w:space="0" w:color="auto"/>
                                <w:left w:val="none" w:sz="0" w:space="0" w:color="auto"/>
                                <w:bottom w:val="none" w:sz="0" w:space="0" w:color="auto"/>
                                <w:right w:val="none" w:sz="0" w:space="0" w:color="auto"/>
                              </w:divBdr>
                              <w:divsChild>
                                <w:div w:id="1539388376">
                                  <w:marLeft w:val="0"/>
                                  <w:marRight w:val="0"/>
                                  <w:marTop w:val="0"/>
                                  <w:marBottom w:val="0"/>
                                  <w:divBdr>
                                    <w:top w:val="none" w:sz="0" w:space="0" w:color="auto"/>
                                    <w:left w:val="none" w:sz="0" w:space="0" w:color="auto"/>
                                    <w:bottom w:val="none" w:sz="0" w:space="0" w:color="auto"/>
                                    <w:right w:val="none" w:sz="0" w:space="0" w:color="auto"/>
                                  </w:divBdr>
                                  <w:divsChild>
                                    <w:div w:id="944002603">
                                      <w:marLeft w:val="0"/>
                                      <w:marRight w:val="0"/>
                                      <w:marTop w:val="0"/>
                                      <w:marBottom w:val="0"/>
                                      <w:divBdr>
                                        <w:top w:val="none" w:sz="0" w:space="0" w:color="auto"/>
                                        <w:left w:val="none" w:sz="0" w:space="0" w:color="auto"/>
                                        <w:bottom w:val="none" w:sz="0" w:space="0" w:color="auto"/>
                                        <w:right w:val="none" w:sz="0" w:space="0" w:color="auto"/>
                                      </w:divBdr>
                                      <w:divsChild>
                                        <w:div w:id="94978481">
                                          <w:marLeft w:val="0"/>
                                          <w:marRight w:val="0"/>
                                          <w:marTop w:val="0"/>
                                          <w:marBottom w:val="0"/>
                                          <w:divBdr>
                                            <w:top w:val="none" w:sz="0" w:space="0" w:color="auto"/>
                                            <w:left w:val="none" w:sz="0" w:space="0" w:color="auto"/>
                                            <w:bottom w:val="none" w:sz="0" w:space="0" w:color="auto"/>
                                            <w:right w:val="none" w:sz="0" w:space="0" w:color="auto"/>
                                          </w:divBdr>
                                          <w:divsChild>
                                            <w:div w:id="1919099022">
                                              <w:marLeft w:val="0"/>
                                              <w:marRight w:val="0"/>
                                              <w:marTop w:val="0"/>
                                              <w:marBottom w:val="0"/>
                                              <w:divBdr>
                                                <w:top w:val="none" w:sz="0" w:space="0" w:color="auto"/>
                                                <w:left w:val="none" w:sz="0" w:space="0" w:color="auto"/>
                                                <w:bottom w:val="none" w:sz="0" w:space="0" w:color="auto"/>
                                                <w:right w:val="none" w:sz="0" w:space="0" w:color="auto"/>
                                              </w:divBdr>
                                              <w:divsChild>
                                                <w:div w:id="1393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4879-D408-4FF9-8C2C-00A4BE85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burcu.erdem</dc:creator>
  <cp:lastModifiedBy>duygu.celebisoy</cp:lastModifiedBy>
  <cp:revision>2</cp:revision>
  <dcterms:created xsi:type="dcterms:W3CDTF">2011-08-23T06:13:00Z</dcterms:created>
  <dcterms:modified xsi:type="dcterms:W3CDTF">2011-08-23T06:13:00Z</dcterms:modified>
</cp:coreProperties>
</file>