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7C" w:rsidRDefault="00860973">
      <w:r>
        <w:t>D.</w:t>
      </w:r>
      <w:r w:rsidR="00A158E6">
        <w:t>39</w:t>
      </w:r>
      <w:r>
        <w:t>/2020</w:t>
      </w:r>
      <w:r w:rsidR="00A158E6">
        <w:tab/>
      </w:r>
      <w:r w:rsidR="00A158E6">
        <w:tab/>
      </w:r>
      <w:r w:rsidR="00A158E6">
        <w:tab/>
      </w:r>
      <w:r w:rsidR="00A158E6">
        <w:tab/>
      </w:r>
      <w:r w:rsidR="00A158E6">
        <w:tab/>
      </w:r>
      <w:r w:rsidR="00A158E6">
        <w:tab/>
      </w:r>
      <w:r w:rsidR="00A158E6">
        <w:tab/>
        <w:t xml:space="preserve">  Yargıtay/</w:t>
      </w:r>
      <w:r w:rsidR="008E6A7C">
        <w:t>Hukuk:156/2020</w:t>
      </w:r>
    </w:p>
    <w:p w:rsidR="008E6A7C" w:rsidRDefault="008E6A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(Girne Dava No:1498/2020)</w:t>
      </w:r>
    </w:p>
    <w:p w:rsidR="00860973" w:rsidRDefault="00860973"/>
    <w:p w:rsidR="00860973" w:rsidRDefault="00860973">
      <w:r>
        <w:t>Yüksek Mahkeme Huzurunda</w:t>
      </w:r>
    </w:p>
    <w:p w:rsidR="00860973" w:rsidRDefault="00860973"/>
    <w:p w:rsidR="00860973" w:rsidRDefault="00860973">
      <w:r>
        <w:t>Mahkeme Heyeti:Narin F.Şefik,Başkan, Ahmet Kalkan,Bertan Özerdağ.</w:t>
      </w:r>
    </w:p>
    <w:p w:rsidR="008E6A7C" w:rsidRDefault="008E6A7C"/>
    <w:p w:rsidR="008E6A7C" w:rsidRDefault="008E6A7C"/>
    <w:p w:rsidR="008E6A7C" w:rsidRDefault="008E6A7C">
      <w:r>
        <w:t xml:space="preserve">İstinaf Eden:  Anexservices Turizm Organizasyon Taşımacılık </w:t>
      </w:r>
      <w:r>
        <w:tab/>
      </w:r>
      <w:r>
        <w:tab/>
      </w:r>
      <w:r>
        <w:tab/>
      </w:r>
      <w:r>
        <w:tab/>
        <w:t xml:space="preserve">Ticaret Anonim Şirketi, Yetkili Temsilcisi ve/veya </w:t>
      </w:r>
      <w:r>
        <w:tab/>
      </w:r>
      <w:r>
        <w:tab/>
      </w:r>
      <w:r>
        <w:tab/>
        <w:t xml:space="preserve">Vekili Sıfatı ile İrem Mustafa Söker, 16 Aslan </w:t>
      </w:r>
      <w:r>
        <w:tab/>
      </w:r>
      <w:r>
        <w:tab/>
      </w:r>
      <w:r>
        <w:tab/>
      </w:r>
      <w:r>
        <w:tab/>
        <w:t>Seçkin Sokak, Girne.</w:t>
      </w:r>
    </w:p>
    <w:p w:rsidR="008E6A7C" w:rsidRDefault="008E6A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(Davacı)</w:t>
      </w:r>
    </w:p>
    <w:p w:rsidR="008E6A7C" w:rsidRDefault="008E6A7C"/>
    <w:p w:rsidR="008E6A7C" w:rsidRDefault="008E6A7C" w:rsidP="008E6A7C">
      <w:pPr>
        <w:pStyle w:val="ListParagraph"/>
        <w:numPr>
          <w:ilvl w:val="0"/>
          <w:numId w:val="1"/>
        </w:numPr>
      </w:pPr>
      <w:r>
        <w:t>ile</w:t>
      </w:r>
      <w:r>
        <w:tab/>
        <w:t>-</w:t>
      </w:r>
    </w:p>
    <w:p w:rsidR="008E6A7C" w:rsidRDefault="008E6A7C" w:rsidP="008E6A7C"/>
    <w:p w:rsidR="008E6A7C" w:rsidRDefault="008E6A7C" w:rsidP="008E6A7C">
      <w:r>
        <w:t>Aleyhine İstinaf Edilen: Ali Murat Ersoy, İşyeri adresi</w:t>
      </w:r>
      <w:r w:rsidR="00A158E6">
        <w:t>:</w:t>
      </w:r>
      <w:r>
        <w:t xml:space="preserve">Uluçay </w:t>
      </w:r>
      <w:r>
        <w:tab/>
      </w:r>
      <w:r>
        <w:tab/>
      </w:r>
      <w:r>
        <w:tab/>
      </w:r>
      <w:r>
        <w:tab/>
      </w:r>
      <w:r>
        <w:tab/>
      </w:r>
      <w:r>
        <w:tab/>
        <w:t>Sokak,No.21 Çatalköy, Girne.</w:t>
      </w:r>
    </w:p>
    <w:p w:rsidR="008E6A7C" w:rsidRDefault="008E6A7C" w:rsidP="008E6A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(Davalı)</w:t>
      </w:r>
    </w:p>
    <w:p w:rsidR="008E6A7C" w:rsidRDefault="008E6A7C" w:rsidP="008E6A7C"/>
    <w:p w:rsidR="008E6A7C" w:rsidRDefault="008E6A7C" w:rsidP="008E6A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r a s ı n d a</w:t>
      </w:r>
    </w:p>
    <w:p w:rsidR="008E6A7C" w:rsidRDefault="008E6A7C" w:rsidP="008E6A7C"/>
    <w:p w:rsidR="00E34DC3" w:rsidRDefault="00E34DC3" w:rsidP="00A158E6">
      <w:r>
        <w:t>İstinaf Eden Namına: Avukat Tolga Çavuşoğlu</w:t>
      </w:r>
    </w:p>
    <w:p w:rsidR="00E34DC3" w:rsidRDefault="00E34DC3" w:rsidP="00860973">
      <w:pPr>
        <w:spacing w:line="360" w:lineRule="auto"/>
      </w:pPr>
      <w:r>
        <w:t xml:space="preserve">Aleyhine İstinaf Edilen: </w:t>
      </w:r>
      <w:r w:rsidR="00A158E6">
        <w:t>Hazır değil. (İstida t</w:t>
      </w:r>
      <w:r>
        <w:t>ek taraflı</w:t>
      </w:r>
      <w:r w:rsidR="00A158E6">
        <w:t>)</w:t>
      </w:r>
    </w:p>
    <w:p w:rsidR="00A158E6" w:rsidRDefault="00A158E6" w:rsidP="00860973">
      <w:pPr>
        <w:spacing w:line="360" w:lineRule="auto"/>
      </w:pPr>
    </w:p>
    <w:p w:rsidR="00A158E6" w:rsidRDefault="00A158E6" w:rsidP="00860973">
      <w:pPr>
        <w:spacing w:line="360" w:lineRule="auto"/>
      </w:pPr>
      <w:r>
        <w:t>Girne Kaza Mahkemesi Başkanı Melek Esendağlı’nın 1498/2020 sayılı davada 21.10.2020 tarihinde verdiği emre karşı Davacı tarafından yapılan istinaftır.</w:t>
      </w:r>
    </w:p>
    <w:p w:rsidR="00E34DC3" w:rsidRDefault="00E34DC3" w:rsidP="008E6A7C"/>
    <w:p w:rsidR="008E6A7C" w:rsidRDefault="008E6A7C" w:rsidP="008E6A7C">
      <w:pPr>
        <w:jc w:val="center"/>
      </w:pPr>
      <w:r>
        <w:t>----</w:t>
      </w:r>
      <w:r w:rsidR="00C330EC">
        <w:t>---</w:t>
      </w:r>
      <w:r>
        <w:t xml:space="preserve">- </w:t>
      </w:r>
    </w:p>
    <w:p w:rsidR="00C330EC" w:rsidRDefault="00C330EC" w:rsidP="008E6A7C">
      <w:pPr>
        <w:jc w:val="center"/>
      </w:pPr>
    </w:p>
    <w:p w:rsidR="008E6A7C" w:rsidRDefault="008E6A7C" w:rsidP="008E6A7C">
      <w:pPr>
        <w:jc w:val="center"/>
      </w:pPr>
      <w:r>
        <w:t>K A R A R</w:t>
      </w:r>
    </w:p>
    <w:p w:rsidR="009D5C59" w:rsidRDefault="009D5C59" w:rsidP="00A158E6"/>
    <w:p w:rsidR="009D5C59" w:rsidRDefault="00A158E6" w:rsidP="009D5C59">
      <w:pPr>
        <w:spacing w:line="360" w:lineRule="auto"/>
      </w:pPr>
      <w:r>
        <w:tab/>
        <w:t>İstinaf E</w:t>
      </w:r>
      <w:r w:rsidR="009D5C59">
        <w:t>den</w:t>
      </w:r>
      <w:r w:rsidR="00E34DC3">
        <w:t>/Davacı</w:t>
      </w:r>
      <w:r w:rsidR="009D5C59">
        <w:t>, tek taraflı olarak dosyaladığı ara emri istidasın</w:t>
      </w:r>
      <w:r>
        <w:t>da</w:t>
      </w:r>
      <w:r w:rsidR="009D5C59">
        <w:t>,</w:t>
      </w:r>
      <w:r>
        <w:t xml:space="preserve"> Alt</w:t>
      </w:r>
      <w:r w:rsidR="009D5C59">
        <w:t xml:space="preserve"> Mahkeme</w:t>
      </w:r>
      <w:r>
        <w:t xml:space="preserve">nin vermiş olduğu, istida ve ekli yemin varakasının </w:t>
      </w:r>
      <w:r w:rsidR="009D5C59">
        <w:t>Davalı/Müstedialeyhe tebliğ edilmesi doğrultusundaki 21.10.2020 tarihli emri</w:t>
      </w:r>
      <w:r w:rsidR="0040304D">
        <w:t xml:space="preserve">n hatalı olduğunu iddia ederek huzurumuzdaki </w:t>
      </w:r>
      <w:r w:rsidR="009D5C59">
        <w:t>istinaf</w:t>
      </w:r>
      <w:r w:rsidR="0040304D">
        <w:t>ı dosyalamıştır</w:t>
      </w:r>
      <w:r w:rsidR="009D5C59">
        <w:t>.</w:t>
      </w:r>
    </w:p>
    <w:p w:rsidR="009D5C59" w:rsidRDefault="009D5C59" w:rsidP="009D5C59">
      <w:pPr>
        <w:spacing w:line="360" w:lineRule="auto"/>
      </w:pPr>
    </w:p>
    <w:p w:rsidR="009D5C59" w:rsidRDefault="00A158E6" w:rsidP="009D5C59">
      <w:pPr>
        <w:spacing w:line="360" w:lineRule="auto"/>
      </w:pPr>
      <w:r>
        <w:tab/>
        <w:t>İstinaf E</w:t>
      </w:r>
      <w:r w:rsidR="009D5C59">
        <w:t>den</w:t>
      </w:r>
      <w:r w:rsidR="00E34DC3">
        <w:t>/Davacı</w:t>
      </w:r>
      <w:r w:rsidR="009D5C59">
        <w:t>,</w:t>
      </w:r>
      <w:r w:rsidR="0040304D">
        <w:t xml:space="preserve"> Alt Mahkemeden, </w:t>
      </w:r>
      <w:r w:rsidR="009D5C59">
        <w:t>davanın neticelenmesine kadar, Davalı</w:t>
      </w:r>
      <w:r w:rsidR="00E34DC3">
        <w:t>/</w:t>
      </w:r>
      <w:r>
        <w:t>A</w:t>
      </w:r>
      <w:r w:rsidR="009D5C59">
        <w:t xml:space="preserve">leyhine </w:t>
      </w:r>
      <w:r>
        <w:t>İ</w:t>
      </w:r>
      <w:r w:rsidR="009D5C59">
        <w:t xml:space="preserve">stinaf </w:t>
      </w:r>
      <w:r>
        <w:t>E</w:t>
      </w:r>
      <w:r w:rsidR="009D5C59">
        <w:t xml:space="preserve">dilen adına kayıtlı Mersoy Turizm Otelcilik İşletmeleri Limited hisselerinin Davalı tarafından elden çıkarılmasını, ve/veya devir edilmesini ve/veya herhangi </w:t>
      </w:r>
      <w:r w:rsidR="009D5C59">
        <w:lastRenderedPageBreak/>
        <w:t>bir yükümlülük altına konulmasını engelleyen ve/veya men eden bir emir vermesini talep etm</w:t>
      </w:r>
      <w:r w:rsidR="0040304D">
        <w:t xml:space="preserve">iş </w:t>
      </w:r>
      <w:r w:rsidR="009D5C59">
        <w:t xml:space="preserve">ve istidasını Hukuk Muhakemeleri Usul Tüzüğü E.48 n.2, Fasıl 6 </w:t>
      </w:r>
      <w:r>
        <w:t xml:space="preserve">Hukuk Muhakemeleri Usulü Yasası </w:t>
      </w:r>
      <w:r w:rsidR="009D5C59">
        <w:t>madde 4 ve 9, 9/1976 Mahkemeler Yasası madde 24,38,40,41 ve Türkiye Cumhuriyeti</w:t>
      </w:r>
      <w:r w:rsidR="00A12354">
        <w:t xml:space="preserve"> Türk Ticaret Kanunun 700,701,702 ve 794. Maddelerine, Ahkam-ı Umumiye ve Hak ve Nisfet Hukuku prensiplerine, Doğal Adalet İlkelerine istinat ettirmiştir.</w:t>
      </w:r>
    </w:p>
    <w:p w:rsidR="00A12354" w:rsidRDefault="00A12354" w:rsidP="009D5C59">
      <w:pPr>
        <w:spacing w:line="360" w:lineRule="auto"/>
      </w:pPr>
    </w:p>
    <w:p w:rsidR="00A12354" w:rsidRDefault="00A12354" w:rsidP="009D5C59">
      <w:pPr>
        <w:spacing w:line="360" w:lineRule="auto"/>
      </w:pPr>
      <w:r>
        <w:tab/>
      </w:r>
      <w:r w:rsidR="00A158E6">
        <w:t>İstinaf Eden/Davacı, yetkili vekili vasıtasıyla dosyaladığı i</w:t>
      </w:r>
      <w:r>
        <w:t>stidasına ekli Y</w:t>
      </w:r>
      <w:r w:rsidR="009714C1">
        <w:t>emin Varakası</w:t>
      </w:r>
      <w:r w:rsidR="00A24A00">
        <w:t>nda</w:t>
      </w:r>
      <w:r w:rsidR="00A158E6">
        <w:t xml:space="preserve"> Hukuk Muhakemeleri Usul Tüzüğü (HMUT), </w:t>
      </w:r>
      <w:r>
        <w:t>E.2 n.1 tahtında ikame ettiği davasında ödenmesi için</w:t>
      </w:r>
      <w:r w:rsidR="00A158E6">
        <w:t xml:space="preserve"> hüküm talep ettiği 6 adet çeki</w:t>
      </w:r>
      <w:r>
        <w:t xml:space="preserve"> yasal hamili ve/veya tasarrufunda bulunduran</w:t>
      </w:r>
      <w:r w:rsidR="00A158E6">
        <w:t>ı</w:t>
      </w:r>
      <w:r>
        <w:t xml:space="preserve"> ve/veya alacaklı kişi </w:t>
      </w:r>
      <w:r w:rsidR="00A158E6">
        <w:t xml:space="preserve">sıfatıyla elinde bulundurduğunu </w:t>
      </w:r>
      <w:r>
        <w:t xml:space="preserve"> ifade ederek 6 </w:t>
      </w:r>
      <w:r w:rsidR="00D2311A">
        <w:t xml:space="preserve">adet </w:t>
      </w:r>
      <w:r>
        <w:t>çek ile ilgili tafsilat vermekte</w:t>
      </w:r>
      <w:r w:rsidR="00A158E6">
        <w:t xml:space="preserve"> ve Aleyhine İ</w:t>
      </w:r>
      <w:r w:rsidR="00A24A00">
        <w:t xml:space="preserve">stinaf </w:t>
      </w:r>
      <w:r w:rsidR="00A158E6">
        <w:t>E</w:t>
      </w:r>
      <w:r w:rsidR="00A24A00">
        <w:t>dilen/</w:t>
      </w:r>
      <w:r w:rsidR="0040304D">
        <w:t>Davalının bu çekleri “şahsi a</w:t>
      </w:r>
      <w:r>
        <w:t>val sıfatı” ile imza ede</w:t>
      </w:r>
      <w:r w:rsidR="00A24A00">
        <w:t>r</w:t>
      </w:r>
      <w:r>
        <w:t>e</w:t>
      </w:r>
      <w:r w:rsidR="00A24A00">
        <w:t>k</w:t>
      </w:r>
      <w:r>
        <w:t xml:space="preserve"> ödeme taahhüdü altına giren kişi old</w:t>
      </w:r>
      <w:r w:rsidR="00A24A00">
        <w:t>u</w:t>
      </w:r>
      <w:r>
        <w:t>ğ</w:t>
      </w:r>
      <w:r w:rsidR="00A24A00">
        <w:t>u</w:t>
      </w:r>
      <w:r>
        <w:t>n</w:t>
      </w:r>
      <w:r w:rsidR="00A24A00">
        <w:t>u</w:t>
      </w:r>
      <w:r>
        <w:t xml:space="preserve"> ileri sürmektedir.</w:t>
      </w:r>
    </w:p>
    <w:p w:rsidR="00A12354" w:rsidRDefault="00A12354" w:rsidP="009D5C59">
      <w:pPr>
        <w:spacing w:line="360" w:lineRule="auto"/>
      </w:pPr>
    </w:p>
    <w:p w:rsidR="00A12354" w:rsidRDefault="00A12354" w:rsidP="009D5C59">
      <w:pPr>
        <w:spacing w:line="360" w:lineRule="auto"/>
      </w:pPr>
      <w:r>
        <w:tab/>
      </w:r>
      <w:r w:rsidR="00A24A00">
        <w:t xml:space="preserve">Gerek </w:t>
      </w:r>
      <w:r w:rsidR="00A158E6">
        <w:t xml:space="preserve">HMUT </w:t>
      </w:r>
      <w:r w:rsidR="000E3903">
        <w:t>E.</w:t>
      </w:r>
      <w:r w:rsidR="000A3E4C">
        <w:t>2.</w:t>
      </w:r>
      <w:r w:rsidR="00A24A00">
        <w:t xml:space="preserve"> </w:t>
      </w:r>
      <w:r w:rsidR="000E3903">
        <w:t>n.</w:t>
      </w:r>
      <w:r w:rsidR="00A24A00">
        <w:t>1 tah</w:t>
      </w:r>
      <w:r w:rsidR="000A3E4C">
        <w:t>t</w:t>
      </w:r>
      <w:r w:rsidR="00A24A00">
        <w:t xml:space="preserve">ında ikame edilen davada gerekse yemin varakasında sıralanan 6 </w:t>
      </w:r>
      <w:r w:rsidR="007853E4">
        <w:t xml:space="preserve">adet </w:t>
      </w:r>
      <w:r w:rsidR="00A24A00">
        <w:t>çek</w:t>
      </w:r>
      <w:r w:rsidR="000A3E4C">
        <w:t xml:space="preserve">in </w:t>
      </w:r>
      <w:r>
        <w:t xml:space="preserve">5 </w:t>
      </w:r>
      <w:r w:rsidR="000A3E4C">
        <w:t xml:space="preserve">tanesi </w:t>
      </w:r>
      <w:r>
        <w:t xml:space="preserve">Şekerbank Bakırköy Şubesi (İstanbul) çeki, 1 </w:t>
      </w:r>
      <w:r w:rsidR="000A3E4C">
        <w:t xml:space="preserve">tanesi </w:t>
      </w:r>
      <w:r>
        <w:t>ise Ziraat Bankası Güneşli İstanbul çekidir. 6</w:t>
      </w:r>
      <w:r w:rsidR="007853E4">
        <w:t xml:space="preserve"> adet</w:t>
      </w:r>
      <w:r>
        <w:t xml:space="preserve"> çek de İstanbul’da keşide edilmiştir. </w:t>
      </w:r>
      <w:r w:rsidR="007853E4">
        <w:t>6 adet</w:t>
      </w:r>
      <w:r w:rsidR="008007C0">
        <w:t xml:space="preserve"> çeki</w:t>
      </w:r>
      <w:r w:rsidR="000A3E4C">
        <w:t xml:space="preserve"> keşide eden Ş</w:t>
      </w:r>
      <w:r w:rsidR="007853E4">
        <w:t xml:space="preserve">irket de </w:t>
      </w:r>
      <w:r>
        <w:t>davada taraf olmayan</w:t>
      </w:r>
      <w:r w:rsidR="000A3E4C">
        <w:t>,</w:t>
      </w:r>
      <w:r>
        <w:t xml:space="preserve"> Türkiye Cumhuriyeti’nde kayıtlı bir Anonim Şirkettir. Çek tarihleri sırası ile 20.11.2019, 23.12.2019, 3.1.2020, 17.1.2020, 24.1.2020 ve 10.2.2020’dir. </w:t>
      </w:r>
      <w:r w:rsidR="00A24A00">
        <w:t xml:space="preserve">Davadaki talep </w:t>
      </w:r>
      <w:r>
        <w:t>çeklerin toplam miktarı 2.950.000 Amerikan Doları</w:t>
      </w:r>
      <w:r w:rsidR="0040304D">
        <w:t xml:space="preserve">, </w:t>
      </w:r>
      <w:r w:rsidR="00A24A00">
        <w:t>zarar ziyan ve faiz içermektedi</w:t>
      </w:r>
      <w:r>
        <w:t>r.</w:t>
      </w:r>
    </w:p>
    <w:p w:rsidR="009714C1" w:rsidRDefault="009714C1" w:rsidP="009D5C59">
      <w:pPr>
        <w:spacing w:line="360" w:lineRule="auto"/>
      </w:pPr>
    </w:p>
    <w:p w:rsidR="009714C1" w:rsidRDefault="009714C1" w:rsidP="009D5C59">
      <w:pPr>
        <w:spacing w:line="360" w:lineRule="auto"/>
      </w:pPr>
      <w:r>
        <w:tab/>
        <w:t>Yemin Varakası’nda  bu çekleri</w:t>
      </w:r>
      <w:r w:rsidR="00A24A00">
        <w:t>n</w:t>
      </w:r>
      <w:r>
        <w:t xml:space="preserve"> keşideci şirket tarafından meşru  ivaz mukabilinde Davacıya verildiği ve Davalının da bu çekleri şahsi aval sıfatı ile imza ederek, şirkete kefil olduğu ileri sürülmektedir. </w:t>
      </w:r>
    </w:p>
    <w:p w:rsidR="009714C1" w:rsidRDefault="009714C1" w:rsidP="009D5C59">
      <w:pPr>
        <w:spacing w:line="360" w:lineRule="auto"/>
      </w:pPr>
    </w:p>
    <w:p w:rsidR="009714C1" w:rsidRDefault="009714C1" w:rsidP="009D5C59">
      <w:pPr>
        <w:spacing w:line="360" w:lineRule="auto"/>
      </w:pPr>
      <w:r>
        <w:lastRenderedPageBreak/>
        <w:tab/>
        <w:t>Alt Mahkeme, huzurundaki şahadeti değerlendirdikten sonra talep edilen ara emrini tek taraflı olarak verme</w:t>
      </w:r>
      <w:r w:rsidR="00A24A00">
        <w:t>kt</w:t>
      </w:r>
      <w:r>
        <w:t>e aciliyet görmediğinden</w:t>
      </w:r>
      <w:r w:rsidR="0040304D">
        <w:t xml:space="preserve"> </w:t>
      </w:r>
      <w:r w:rsidR="00A24A00">
        <w:t>tek taraflı emir vermeyi</w:t>
      </w:r>
      <w:r>
        <w:t xml:space="preserve"> uygun görme</w:t>
      </w:r>
      <w:r w:rsidR="0040304D">
        <w:t xml:space="preserve">diğini belirterek </w:t>
      </w:r>
      <w:r w:rsidR="00A24A00">
        <w:t>istidanın</w:t>
      </w:r>
      <w:r w:rsidR="000A3E4C">
        <w:t xml:space="preserve"> Aleyhine İstinaf Edilen M</w:t>
      </w:r>
      <w:r w:rsidR="00A24A00">
        <w:t xml:space="preserve">üstedialeyhe </w:t>
      </w:r>
      <w:r>
        <w:t xml:space="preserve">tebliğine emir vermiştir.  </w:t>
      </w:r>
    </w:p>
    <w:p w:rsidR="009714C1" w:rsidRDefault="009714C1" w:rsidP="009D5C59">
      <w:pPr>
        <w:spacing w:line="360" w:lineRule="auto"/>
      </w:pPr>
    </w:p>
    <w:p w:rsidR="009714C1" w:rsidRDefault="009714C1" w:rsidP="009D5C59">
      <w:pPr>
        <w:spacing w:line="360" w:lineRule="auto"/>
      </w:pPr>
      <w:r>
        <w:tab/>
      </w:r>
      <w:r w:rsidR="000A3E4C">
        <w:t>Davacı, bu emirden</w:t>
      </w:r>
      <w:r>
        <w:t xml:space="preserve"> istinaf </w:t>
      </w:r>
      <w:r w:rsidR="000A3E4C">
        <w:t xml:space="preserve">dosyalamış olup istinaf ihbarnamesi 2 </w:t>
      </w:r>
      <w:r>
        <w:t>istinaf</w:t>
      </w:r>
      <w:r w:rsidR="000A3E4C">
        <w:t xml:space="preserve"> sebebi içermektedir;</w:t>
      </w:r>
    </w:p>
    <w:p w:rsidR="009714C1" w:rsidRDefault="009714C1" w:rsidP="009D5C59">
      <w:pPr>
        <w:spacing w:line="360" w:lineRule="auto"/>
      </w:pPr>
    </w:p>
    <w:p w:rsidR="009714C1" w:rsidRDefault="00AF13A1" w:rsidP="00AF13A1">
      <w:pPr>
        <w:spacing w:line="360" w:lineRule="auto"/>
        <w:ind w:left="1134" w:hanging="1134"/>
      </w:pPr>
      <w:r>
        <w:t xml:space="preserve">     1. Muhterem Bidayet Mahkemesi İstinaf eden tarafından dosyalanan 13.10.2020 tarihli Tek Taraflı Ara emri İstidası</w:t>
      </w:r>
      <w:r w:rsidR="000A3E4C">
        <w:t>nın</w:t>
      </w:r>
      <w:r>
        <w:t>, 21.10.2020 tarihinde Davalı/Müstedialeyhe tebliğine yönelik emir vermekle hata etmiştir.</w:t>
      </w:r>
    </w:p>
    <w:p w:rsidR="00AF13A1" w:rsidRDefault="00AF13A1" w:rsidP="00AF13A1">
      <w:pPr>
        <w:spacing w:line="360" w:lineRule="auto"/>
        <w:ind w:left="1134" w:hanging="1134"/>
      </w:pPr>
      <w:r>
        <w:t xml:space="preserve">     2. Muhterem Bidayet Mahkemesi, İstinaf eden tarafından dosyalanan 13.10.2020 tarihli Tek Taraflı Ara emri İstidası tahtında 21.10.2020 tarihli celsede işbu istidanın duruşmasını yapmasına rağmen istida tahtında talep edilen Tek Taraflı emrini</w:t>
      </w:r>
      <w:r w:rsidR="000A3E4C">
        <w:t xml:space="preserve"> Müstedi</w:t>
      </w:r>
      <w:r>
        <w:t>; sunulan şahadet ve emareler</w:t>
      </w:r>
      <w:r w:rsidR="000A3E4C">
        <w:t>l</w:t>
      </w:r>
      <w:r>
        <w:t>e</w:t>
      </w:r>
      <w:r w:rsidR="000A3E4C">
        <w:t xml:space="preserve"> </w:t>
      </w:r>
      <w:r>
        <w:t>ısbat külfetini ihtimaller dengesi prensibi üzerinden yerine getirmesine rağmen ara emri prensipleri tahtında vermemekle hata etmiştir.</w:t>
      </w:r>
    </w:p>
    <w:p w:rsidR="009714C1" w:rsidRDefault="009714C1" w:rsidP="009D5C59">
      <w:pPr>
        <w:spacing w:line="360" w:lineRule="auto"/>
      </w:pPr>
    </w:p>
    <w:p w:rsidR="009714C1" w:rsidRDefault="009714C1" w:rsidP="009D5C59">
      <w:pPr>
        <w:spacing w:line="360" w:lineRule="auto"/>
      </w:pPr>
      <w:r>
        <w:tab/>
      </w:r>
      <w:r w:rsidR="000A3E4C">
        <w:t>İstinaf E</w:t>
      </w:r>
      <w:r w:rsidR="0040304D">
        <w:t>den/Davacının ara emri verilmesi için istidasını dayandırdığı esas mevzuat</w:t>
      </w:r>
      <w:r w:rsidR="000A3E4C">
        <w:t>,</w:t>
      </w:r>
      <w:r w:rsidR="0040304D">
        <w:t xml:space="preserve"> </w:t>
      </w:r>
      <w:r>
        <w:t>9/1976 sayılı Yasa</w:t>
      </w:r>
      <w:r w:rsidR="000A3E4C">
        <w:t>’</w:t>
      </w:r>
      <w:r>
        <w:t>nın 41(1) maddesi</w:t>
      </w:r>
      <w:r w:rsidR="0040304D">
        <w:t>dir.  Bu madde</w:t>
      </w:r>
      <w:r>
        <w:t xml:space="preserve"> aynen şöyledir:</w:t>
      </w:r>
    </w:p>
    <w:p w:rsidR="009714C1" w:rsidRDefault="009714C1" w:rsidP="009D5C59">
      <w:pPr>
        <w:spacing w:line="360" w:lineRule="auto"/>
      </w:pPr>
    </w:p>
    <w:p w:rsidR="00AF13A1" w:rsidRPr="00AF13A1" w:rsidRDefault="009714C1" w:rsidP="00AF13A1">
      <w:pPr>
        <w:rPr>
          <w:b/>
        </w:rPr>
      </w:pPr>
      <w:r>
        <w:tab/>
      </w:r>
      <w:r w:rsidR="00AF13A1" w:rsidRPr="00AF13A1">
        <w:rPr>
          <w:b/>
        </w:rPr>
        <w:t xml:space="preserve">“41.(1)Hukuk davalarında yetkisini kullanan her mahkeme, </w:t>
      </w:r>
      <w:r w:rsidR="00AF13A1" w:rsidRPr="00AF13A1">
        <w:rPr>
          <w:b/>
        </w:rPr>
        <w:tab/>
      </w:r>
    </w:p>
    <w:p w:rsidR="00AF13A1" w:rsidRPr="00AF13A1" w:rsidRDefault="00AF13A1" w:rsidP="00AF13A1">
      <w:pPr>
        <w:rPr>
          <w:b/>
        </w:rPr>
      </w:pPr>
      <w:r w:rsidRPr="00AF13A1">
        <w:rPr>
          <w:b/>
        </w:rPr>
        <w:tab/>
      </w:r>
      <w:r w:rsidRPr="00AF13A1">
        <w:rPr>
          <w:b/>
        </w:rPr>
        <w:tab/>
        <w:t xml:space="preserve">  yürürlükteki Hukuk Muhakemeleri Usul Tüzüğüne uymak  </w:t>
      </w:r>
    </w:p>
    <w:p w:rsidR="00AF13A1" w:rsidRPr="00AF13A1" w:rsidRDefault="00AF13A1" w:rsidP="00AF13A1">
      <w:pPr>
        <w:rPr>
          <w:b/>
        </w:rPr>
      </w:pPr>
      <w:r w:rsidRPr="00AF13A1">
        <w:rPr>
          <w:b/>
        </w:rPr>
        <w:t xml:space="preserve">            koşuluyla, tazminat veya başka bir tedbir istenmemiş </w:t>
      </w:r>
      <w:r w:rsidRPr="00AF13A1">
        <w:rPr>
          <w:b/>
        </w:rPr>
        <w:tab/>
      </w:r>
      <w:r w:rsidRPr="00AF13A1">
        <w:rPr>
          <w:b/>
        </w:rPr>
        <w:tab/>
        <w:t xml:space="preserve">  veya birlikte verilmemiş olmasına veya istidada yer </w:t>
      </w:r>
      <w:r w:rsidRPr="00AF13A1">
        <w:rPr>
          <w:b/>
        </w:rPr>
        <w:tab/>
      </w:r>
      <w:r w:rsidRPr="00AF13A1">
        <w:rPr>
          <w:b/>
        </w:rPr>
        <w:tab/>
      </w:r>
      <w:r w:rsidRPr="00AF13A1">
        <w:rPr>
          <w:b/>
        </w:rPr>
        <w:tab/>
        <w:t xml:space="preserve">  alan talebin dava konusu olup olmadığına </w:t>
      </w:r>
      <w:r w:rsidRPr="00AF13A1">
        <w:rPr>
          <w:b/>
        </w:rPr>
        <w:tab/>
      </w:r>
      <w:r w:rsidRPr="00AF13A1">
        <w:rPr>
          <w:b/>
        </w:rPr>
        <w:tab/>
      </w:r>
      <w:r w:rsidRPr="00AF13A1">
        <w:rPr>
          <w:b/>
        </w:rPr>
        <w:tab/>
      </w:r>
      <w:r w:rsidRPr="00AF13A1">
        <w:rPr>
          <w:b/>
        </w:rPr>
        <w:tab/>
      </w:r>
      <w:r w:rsidRPr="00AF13A1">
        <w:rPr>
          <w:b/>
        </w:rPr>
        <w:tab/>
        <w:t xml:space="preserve">  bakılmaksızın, adil veya uygun gördüğü tüm hallerde </w:t>
      </w:r>
      <w:r w:rsidRPr="00AF13A1">
        <w:rPr>
          <w:b/>
        </w:rPr>
        <w:tab/>
      </w:r>
      <w:r w:rsidRPr="00AF13A1">
        <w:rPr>
          <w:b/>
        </w:rPr>
        <w:tab/>
      </w:r>
      <w:r w:rsidRPr="00AF13A1">
        <w:rPr>
          <w:b/>
        </w:rPr>
        <w:tab/>
        <w:t xml:space="preserve">  geçici, sürekli, men edici veya emredici bir men’i </w:t>
      </w:r>
      <w:r w:rsidRPr="00AF13A1">
        <w:rPr>
          <w:b/>
        </w:rPr>
        <w:tab/>
      </w:r>
      <w:r w:rsidRPr="00AF13A1">
        <w:rPr>
          <w:b/>
        </w:rPr>
        <w:tab/>
      </w:r>
      <w:r w:rsidRPr="00AF13A1">
        <w:rPr>
          <w:b/>
        </w:rPr>
        <w:tab/>
        <w:t xml:space="preserve">  müdahale emri verebilir veya bir yed’i emin tayin </w:t>
      </w:r>
      <w:r w:rsidRPr="00AF13A1">
        <w:rPr>
          <w:b/>
        </w:rPr>
        <w:tab/>
      </w:r>
      <w:r w:rsidRPr="00AF13A1">
        <w:rPr>
          <w:b/>
        </w:rPr>
        <w:tab/>
      </w:r>
      <w:r w:rsidRPr="00AF13A1">
        <w:rPr>
          <w:b/>
        </w:rPr>
        <w:tab/>
        <w:t xml:space="preserve">  edebilir.</w:t>
      </w:r>
    </w:p>
    <w:p w:rsidR="009714C1" w:rsidRPr="00AF13A1" w:rsidRDefault="00AF13A1" w:rsidP="00AF13A1">
      <w:pPr>
        <w:rPr>
          <w:b/>
        </w:rPr>
      </w:pPr>
      <w:r w:rsidRPr="00AF13A1">
        <w:rPr>
          <w:b/>
        </w:rPr>
        <w:tab/>
      </w:r>
      <w:r w:rsidRPr="00AF13A1">
        <w:rPr>
          <w:b/>
        </w:rPr>
        <w:tab/>
      </w:r>
      <w:r w:rsidRPr="00AF13A1">
        <w:rPr>
          <w:b/>
        </w:rPr>
        <w:tab/>
        <w:t xml:space="preserve">Ancak, geçici men’i müdahale emrinin </w:t>
      </w:r>
      <w:r w:rsidRPr="00AF13A1">
        <w:rPr>
          <w:b/>
        </w:rPr>
        <w:tab/>
      </w:r>
      <w:r w:rsidRPr="00AF13A1">
        <w:rPr>
          <w:b/>
        </w:rPr>
        <w:tab/>
      </w:r>
      <w:r w:rsidRPr="00AF13A1">
        <w:rPr>
          <w:b/>
        </w:rPr>
        <w:tab/>
      </w:r>
      <w:r w:rsidRPr="00AF13A1">
        <w:rPr>
          <w:b/>
        </w:rPr>
        <w:tab/>
      </w:r>
      <w:r w:rsidRPr="00AF13A1">
        <w:rPr>
          <w:b/>
        </w:rPr>
        <w:tab/>
        <w:t xml:space="preserve">  verilebilmesi için, karara bağlanması gereken konunun </w:t>
      </w:r>
      <w:r w:rsidRPr="00AF13A1">
        <w:rPr>
          <w:b/>
        </w:rPr>
        <w:tab/>
      </w:r>
      <w:r w:rsidRPr="00AF13A1">
        <w:rPr>
          <w:b/>
        </w:rPr>
        <w:tab/>
        <w:t xml:space="preserve">  ciddi olması, davacının iddiasında haklı olduğuna dair </w:t>
      </w:r>
      <w:r w:rsidRPr="00AF13A1">
        <w:rPr>
          <w:b/>
        </w:rPr>
        <w:lastRenderedPageBreak/>
        <w:tab/>
      </w:r>
      <w:r w:rsidRPr="00AF13A1">
        <w:rPr>
          <w:b/>
        </w:rPr>
        <w:tab/>
        <w:t xml:space="preserve">  belirtilerin bulunması ve men’i müdahale emri </w:t>
      </w:r>
      <w:r w:rsidRPr="00AF13A1">
        <w:rPr>
          <w:b/>
        </w:rPr>
        <w:tab/>
      </w:r>
      <w:r w:rsidRPr="00AF13A1">
        <w:rPr>
          <w:b/>
        </w:rPr>
        <w:tab/>
      </w:r>
      <w:r w:rsidRPr="00AF13A1">
        <w:rPr>
          <w:b/>
        </w:rPr>
        <w:tab/>
      </w:r>
      <w:r w:rsidRPr="00AF13A1">
        <w:rPr>
          <w:b/>
        </w:rPr>
        <w:tab/>
        <w:t xml:space="preserve">  verilmezse ileride telafisi mümkün olmayacak bir </w:t>
      </w:r>
      <w:r w:rsidRPr="00AF13A1">
        <w:rPr>
          <w:b/>
        </w:rPr>
        <w:tab/>
      </w:r>
      <w:r w:rsidRPr="00AF13A1">
        <w:rPr>
          <w:b/>
        </w:rPr>
        <w:tab/>
      </w:r>
      <w:r w:rsidRPr="00AF13A1">
        <w:rPr>
          <w:b/>
        </w:rPr>
        <w:tab/>
        <w:t xml:space="preserve">  zararın doğacağı veya eski duruma dönüşün çok </w:t>
      </w:r>
      <w:r w:rsidRPr="00AF13A1">
        <w:rPr>
          <w:b/>
        </w:rPr>
        <w:tab/>
      </w:r>
      <w:r w:rsidRPr="00AF13A1">
        <w:rPr>
          <w:b/>
        </w:rPr>
        <w:tab/>
      </w:r>
      <w:r w:rsidRPr="00AF13A1">
        <w:rPr>
          <w:b/>
        </w:rPr>
        <w:tab/>
      </w:r>
      <w:r w:rsidRPr="00AF13A1">
        <w:rPr>
          <w:b/>
        </w:rPr>
        <w:tab/>
        <w:t xml:space="preserve">  zorlaşacağı hususlarında mahkemenin kanaat getirmesi</w:t>
      </w:r>
      <w:r>
        <w:tab/>
      </w:r>
      <w:r>
        <w:tab/>
      </w:r>
      <w:r w:rsidRPr="00AF13A1">
        <w:rPr>
          <w:b/>
        </w:rPr>
        <w:t>gerekir.”</w:t>
      </w:r>
    </w:p>
    <w:p w:rsidR="00AF13A1" w:rsidRDefault="00AF13A1" w:rsidP="00AF13A1"/>
    <w:p w:rsidR="00AF13A1" w:rsidRDefault="00AF13A1" w:rsidP="00AF13A1"/>
    <w:p w:rsidR="000A3E4C" w:rsidRDefault="007853E4" w:rsidP="000A3E4C">
      <w:pPr>
        <w:spacing w:line="360" w:lineRule="auto"/>
      </w:pPr>
      <w:r>
        <w:tab/>
      </w:r>
      <w:bookmarkStart w:id="0" w:name="_GoBack"/>
      <w:bookmarkEnd w:id="0"/>
      <w:r w:rsidR="00A24A00">
        <w:t>9/</w:t>
      </w:r>
      <w:r w:rsidR="000A3E4C">
        <w:t>19</w:t>
      </w:r>
      <w:r w:rsidR="00A24A00">
        <w:t>76 Mahkemeler Yasası madde 41(1) altında bir a</w:t>
      </w:r>
      <w:r w:rsidR="00AF13A1">
        <w:t>ra emri ısdar edilmesi için</w:t>
      </w:r>
      <w:r w:rsidR="000539F9">
        <w:t xml:space="preserve">,birçok istinaf kararında izah edildiği gibi, </w:t>
      </w:r>
      <w:r w:rsidR="00AF13A1">
        <w:t xml:space="preserve"> </w:t>
      </w:r>
      <w:r w:rsidR="000539F9">
        <w:t xml:space="preserve">aşağıda sıralanan </w:t>
      </w:r>
      <w:r w:rsidR="00AF13A1">
        <w:t>üç kriter</w:t>
      </w:r>
      <w:r w:rsidR="0040304D">
        <w:t>in</w:t>
      </w:r>
      <w:r w:rsidR="000A3E4C">
        <w:t xml:space="preserve"> Müstedi tarafından tatmin edilmesi gerekir:</w:t>
      </w:r>
    </w:p>
    <w:p w:rsidR="00AF13A1" w:rsidRDefault="00AF13A1" w:rsidP="00AF13A1">
      <w:pPr>
        <w:spacing w:line="360" w:lineRule="auto"/>
      </w:pPr>
    </w:p>
    <w:p w:rsidR="00AF13A1" w:rsidRDefault="00AF13A1" w:rsidP="00AF13A1">
      <w:pPr>
        <w:spacing w:line="360" w:lineRule="auto"/>
      </w:pPr>
      <w:r>
        <w:tab/>
        <w:t>a) karara bağlanması gereken konunun ciddi olması</w:t>
      </w:r>
      <w:r w:rsidR="000A3E4C">
        <w:t>;</w:t>
      </w:r>
    </w:p>
    <w:p w:rsidR="00AF13A1" w:rsidRDefault="00AF13A1" w:rsidP="00AF13A1">
      <w:pPr>
        <w:spacing w:line="360" w:lineRule="auto"/>
      </w:pPr>
      <w:r>
        <w:tab/>
        <w:t xml:space="preserve">b) Davacının iddiasında haklı olduğuna dair belirtilerin </w:t>
      </w:r>
      <w:r>
        <w:tab/>
      </w:r>
      <w:r>
        <w:tab/>
        <w:t xml:space="preserve">   bulunması</w:t>
      </w:r>
      <w:r w:rsidR="000A3E4C">
        <w:t>;</w:t>
      </w:r>
      <w:r>
        <w:t xml:space="preserve"> ve </w:t>
      </w:r>
    </w:p>
    <w:p w:rsidR="00AF13A1" w:rsidRDefault="00AF13A1" w:rsidP="00AF13A1">
      <w:pPr>
        <w:spacing w:line="360" w:lineRule="auto"/>
      </w:pPr>
      <w:r>
        <w:tab/>
        <w:t xml:space="preserve">c) emrin verilmemesi halinde ileride telafisi mümkün </w:t>
      </w:r>
      <w:r>
        <w:tab/>
      </w:r>
      <w:r>
        <w:tab/>
      </w:r>
      <w:r>
        <w:tab/>
        <w:t xml:space="preserve">   olmayacak bir zararın doğacağı veya eski duruma dönüşün </w:t>
      </w:r>
      <w:r>
        <w:tab/>
        <w:t xml:space="preserve">   çok zorlaşacağı</w:t>
      </w:r>
    </w:p>
    <w:p w:rsidR="00AF13A1" w:rsidRDefault="00AF13A1" w:rsidP="00AF13A1">
      <w:pPr>
        <w:spacing w:line="360" w:lineRule="auto"/>
      </w:pPr>
    </w:p>
    <w:p w:rsidR="00167C12" w:rsidRDefault="00167C12" w:rsidP="00AF13A1">
      <w:pPr>
        <w:spacing w:line="360" w:lineRule="auto"/>
      </w:pPr>
      <w:r>
        <w:tab/>
        <w:t>Mahkeme bu</w:t>
      </w:r>
      <w:r w:rsidR="000539F9">
        <w:t xml:space="preserve"> kr</w:t>
      </w:r>
      <w:r w:rsidR="00D2311A">
        <w:t>iterlerin varlığını tes</w:t>
      </w:r>
      <w:r w:rsidR="000A3E4C">
        <w:t>p</w:t>
      </w:r>
      <w:r w:rsidR="00D2311A">
        <w:t>it eder</w:t>
      </w:r>
      <w:r w:rsidR="000539F9">
        <w:t>ken</w:t>
      </w:r>
      <w:r>
        <w:t xml:space="preserve"> davanın esasını etkileyecek hususlarda bulgu yapmaktan kaçınmalıdır. </w:t>
      </w:r>
      <w:r w:rsidR="00956C12">
        <w:t>Ancak Davacının davasında ileri</w:t>
      </w:r>
      <w:r>
        <w:t xml:space="preserve"> sürdüğü iddialarında haklı olduğuna dair belirtiler bulunup bulunmadığı incelenirken davanın esasına girilmesi kaçınılmaz olmaktadır.</w:t>
      </w:r>
      <w:r w:rsidR="00D66C49">
        <w:t xml:space="preserve"> </w:t>
      </w:r>
      <w:r w:rsidR="00956C12">
        <w:t>(Bak.Yargıtay/Hukuk 169/2019 D.38/2019).</w:t>
      </w:r>
    </w:p>
    <w:p w:rsidR="00D66C49" w:rsidRDefault="00D66C49" w:rsidP="00AF13A1">
      <w:pPr>
        <w:spacing w:line="360" w:lineRule="auto"/>
      </w:pPr>
    </w:p>
    <w:p w:rsidR="008F0A95" w:rsidRDefault="00167C12" w:rsidP="00AF13A1">
      <w:pPr>
        <w:spacing w:line="360" w:lineRule="auto"/>
      </w:pPr>
      <w:r>
        <w:tab/>
        <w:t xml:space="preserve">Alt Mahkeme huzurundaki istidayı tek taraflı olarak dinlemeye başlamış ve Davacı vekilinin şahadetini dinleyerek, emare almıştır.  Bu şahadetin sonunda istida gereğince emir verilmesi talep edilmiştir.  </w:t>
      </w:r>
      <w:r w:rsidR="000539F9">
        <w:t>O</w:t>
      </w:r>
      <w:r>
        <w:t xml:space="preserve"> safhada </w:t>
      </w:r>
      <w:r w:rsidR="00D66C49">
        <w:t>Alt M</w:t>
      </w:r>
      <w:r>
        <w:t>ahkeme</w:t>
      </w:r>
      <w:r w:rsidR="00D66C49">
        <w:t>,</w:t>
      </w:r>
      <w:r>
        <w:t xml:space="preserve"> istidanın içeriği ile ilgili karar üretmeden</w:t>
      </w:r>
      <w:r w:rsidR="00D66C49">
        <w:t>,</w:t>
      </w:r>
      <w:r>
        <w:t xml:space="preserve"> dava konusu çeklerin keşide yerleri ve keşide edildiği bankaların T</w:t>
      </w:r>
      <w:r w:rsidR="00860973">
        <w:t>.</w:t>
      </w:r>
      <w:r>
        <w:t>C</w:t>
      </w:r>
      <w:r w:rsidR="00860973">
        <w:t>.</w:t>
      </w:r>
      <w:r>
        <w:t>’de bulunduğu</w:t>
      </w:r>
      <w:r w:rsidR="00D66C49">
        <w:t>nu</w:t>
      </w:r>
      <w:r w:rsidR="000539F9">
        <w:t>,</w:t>
      </w:r>
      <w:r w:rsidR="00D66C49">
        <w:t xml:space="preserve"> Davalı</w:t>
      </w:r>
      <w:r>
        <w:t xml:space="preserve">nın çekleri imza etmesi ile şahsi taahhüt altına </w:t>
      </w:r>
      <w:r w:rsidR="008F0A95">
        <w:t>girdiği iddiasının Türkiye Cumhuriyeti mevzuatına dayandırıldığını ifade ettikten sonra, dava sebebinin KKTC haricinde doğm</w:t>
      </w:r>
      <w:r w:rsidR="000539F9">
        <w:t>uş olm</w:t>
      </w:r>
      <w:r w:rsidR="008F0A95">
        <w:t xml:space="preserve">ası halinde </w:t>
      </w:r>
      <w:r w:rsidR="000539F9">
        <w:t xml:space="preserve">ilk nazarda </w:t>
      </w:r>
      <w:r w:rsidR="008F0A95">
        <w:t>yetkili  Mahkemenin Girne Kaza Mahkemesi olmayabileceğini</w:t>
      </w:r>
      <w:r w:rsidR="000539F9">
        <w:t>,</w:t>
      </w:r>
      <w:r w:rsidR="007853E4">
        <w:t xml:space="preserve"> </w:t>
      </w:r>
      <w:r w:rsidR="000539F9">
        <w:lastRenderedPageBreak/>
        <w:t xml:space="preserve">uygulanacak mevzuatın KKTC </w:t>
      </w:r>
      <w:r w:rsidR="00D66C49">
        <w:t xml:space="preserve">mevzuatı mı yoksa </w:t>
      </w:r>
      <w:r w:rsidR="00956C12">
        <w:t>T.C. mevzuatı mı olduğunun da</w:t>
      </w:r>
      <w:r w:rsidR="000539F9">
        <w:t xml:space="preserve"> incelenmesi gerekeceğini de </w:t>
      </w:r>
      <w:r w:rsidR="008F0A95">
        <w:t>belirte</w:t>
      </w:r>
      <w:r w:rsidR="000539F9">
        <w:t>rek,</w:t>
      </w:r>
      <w:r w:rsidR="008F0A95">
        <w:t xml:space="preserve"> Davacının </w:t>
      </w:r>
      <w:r w:rsidR="000539F9">
        <w:t>iddialarında</w:t>
      </w:r>
      <w:r w:rsidR="008F0A95">
        <w:t xml:space="preserve"> haklı</w:t>
      </w:r>
      <w:r w:rsidR="000539F9">
        <w:t xml:space="preserve"> olabileceğine dair belirtilerin var olup olmadığı konularını</w:t>
      </w:r>
      <w:r w:rsidR="008F0A95">
        <w:t xml:space="preserve"> d</w:t>
      </w:r>
      <w:r w:rsidR="000539F9">
        <w:t>aha sağlıklı</w:t>
      </w:r>
      <w:r w:rsidR="008F0A95">
        <w:t xml:space="preserve"> değerlendirilebilme</w:t>
      </w:r>
      <w:r w:rsidR="000539F9">
        <w:t>k</w:t>
      </w:r>
      <w:r w:rsidR="008F0A95">
        <w:t xml:space="preserve"> için, emrin tek taraflı </w:t>
      </w:r>
      <w:r w:rsidR="000539F9">
        <w:t>verilmesinde</w:t>
      </w:r>
      <w:r w:rsidR="00D66C49">
        <w:t xml:space="preserve"> aciliyet</w:t>
      </w:r>
      <w:r w:rsidR="000539F9">
        <w:t xml:space="preserve"> </w:t>
      </w:r>
      <w:r w:rsidR="00004FE9">
        <w:t>bulunduğu</w:t>
      </w:r>
      <w:r w:rsidR="008F0A95">
        <w:t xml:space="preserve"> </w:t>
      </w:r>
      <w:r w:rsidR="00D66C49">
        <w:t xml:space="preserve">da </w:t>
      </w:r>
      <w:r w:rsidR="008F0A95">
        <w:t xml:space="preserve"> gör</w:t>
      </w:r>
      <w:r w:rsidR="00D66C49">
        <w:t>ül</w:t>
      </w:r>
      <w:r w:rsidR="008F0A95">
        <w:t>mediğinden</w:t>
      </w:r>
      <w:r w:rsidR="000539F9">
        <w:t>,</w:t>
      </w:r>
      <w:r w:rsidR="008F0A95">
        <w:t xml:space="preserve"> istidanın Müstedialeyhe tebliğ edilmesine emir vermiştir.</w:t>
      </w:r>
    </w:p>
    <w:p w:rsidR="008F0A95" w:rsidRDefault="008F0A95" w:rsidP="00AF13A1">
      <w:pPr>
        <w:spacing w:line="360" w:lineRule="auto"/>
      </w:pPr>
    </w:p>
    <w:p w:rsidR="008F0A95" w:rsidRDefault="008F0A95" w:rsidP="00AF13A1">
      <w:pPr>
        <w:spacing w:line="360" w:lineRule="auto"/>
      </w:pPr>
      <w:r>
        <w:tab/>
        <w:t xml:space="preserve">9/1976 sayılı Mahkemeler Yasası madde 41, 2017 yılında tadil </w:t>
      </w:r>
      <w:r w:rsidR="00D66C49">
        <w:t>edildikten</w:t>
      </w:r>
      <w:r>
        <w:t xml:space="preserve"> sonra, ara emri istidasında yer alan talebin dava konusu olup olmamasına bakılmaksızın ara emri, maddede yer alan diğer unsurlar tatmin edildiği takdirde verilebilmektedir.</w:t>
      </w:r>
    </w:p>
    <w:p w:rsidR="008F0A95" w:rsidRDefault="008F0A95" w:rsidP="00AF13A1">
      <w:pPr>
        <w:spacing w:line="360" w:lineRule="auto"/>
      </w:pPr>
    </w:p>
    <w:p w:rsidR="00167C12" w:rsidRDefault="008F0A95" w:rsidP="00AF13A1">
      <w:pPr>
        <w:spacing w:line="360" w:lineRule="auto"/>
      </w:pPr>
      <w:r>
        <w:tab/>
        <w:t>Huzurumuzdaki istinafa konu istidada Müstedi, parasal alacağı ile ilgili hüküm elde etmesi halinde Davalı adına KKTC’de kayıtlı şirket</w:t>
      </w:r>
      <w:r w:rsidR="00847F27">
        <w:t xml:space="preserve"> hi</w:t>
      </w:r>
      <w:r w:rsidR="000539F9">
        <w:t>ss</w:t>
      </w:r>
      <w:r w:rsidR="00847F27">
        <w:t xml:space="preserve">elerini teminat olarak tutmak ve </w:t>
      </w:r>
      <w:r w:rsidR="000539F9">
        <w:t xml:space="preserve">hisselerin </w:t>
      </w:r>
      <w:r w:rsidR="00847F27">
        <w:t>elden çıkarılma</w:t>
      </w:r>
      <w:r w:rsidR="000539F9">
        <w:t>lar</w:t>
      </w:r>
      <w:r w:rsidR="00847F27">
        <w:t>ını önlemek istemektedir.</w:t>
      </w:r>
    </w:p>
    <w:p w:rsidR="00847F27" w:rsidRDefault="00847F27" w:rsidP="00AF13A1">
      <w:pPr>
        <w:spacing w:line="360" w:lineRule="auto"/>
      </w:pPr>
    </w:p>
    <w:p w:rsidR="00847F27" w:rsidRDefault="00847F27" w:rsidP="00AF13A1">
      <w:pPr>
        <w:spacing w:line="360" w:lineRule="auto"/>
      </w:pPr>
      <w:r>
        <w:tab/>
        <w:t>Nitekim</w:t>
      </w:r>
      <w:r w:rsidR="00D66C49">
        <w:t>,</w:t>
      </w:r>
      <w:r>
        <w:t xml:space="preserve"> Davacının T.C.’de kayıtlı bir şirket olduğu, dava konusu 6 </w:t>
      </w:r>
      <w:r w:rsidR="00D2311A">
        <w:t xml:space="preserve">adet </w:t>
      </w:r>
      <w:r>
        <w:t xml:space="preserve">çekin İstanbul’da keşide edildiği, keşide edilen çeklerin de T.C.’de kayıtlı bankaların İstanbul şubelerine ait olduğu gözönünde tutulduğu zaman, </w:t>
      </w:r>
      <w:r w:rsidR="00547A56">
        <w:t>davanın KKTC ile bağlantısı</w:t>
      </w:r>
      <w:r w:rsidR="00D66C49">
        <w:t>nın yalnızca</w:t>
      </w:r>
      <w:r w:rsidR="00547A56">
        <w:t xml:space="preserve"> Davalının ikamet adresi ve Davalı adına kayıtlı şirket hisseleri</w:t>
      </w:r>
      <w:r w:rsidR="00D66C49">
        <w:t xml:space="preserve"> noktasında</w:t>
      </w:r>
      <w:r w:rsidR="00547A56">
        <w:t xml:space="preserve"> olduğu görül</w:t>
      </w:r>
      <w:r w:rsidR="000539F9">
        <w:t>mektedi</w:t>
      </w:r>
      <w:r w:rsidR="00547A56">
        <w:t>r.</w:t>
      </w:r>
    </w:p>
    <w:p w:rsidR="00547A56" w:rsidRDefault="00547A56" w:rsidP="00AF13A1">
      <w:pPr>
        <w:spacing w:line="360" w:lineRule="auto"/>
      </w:pPr>
    </w:p>
    <w:p w:rsidR="00547A56" w:rsidRDefault="00547A56" w:rsidP="00AF13A1">
      <w:pPr>
        <w:spacing w:line="360" w:lineRule="auto"/>
      </w:pPr>
      <w:r>
        <w:tab/>
        <w:t>Davalının KKTC’de ikamet etmesi</w:t>
      </w:r>
      <w:r w:rsidR="00E03FA0">
        <w:t>nin</w:t>
      </w:r>
      <w:r>
        <w:t xml:space="preserve"> ve</w:t>
      </w:r>
      <w:r w:rsidR="00E03FA0">
        <w:t>/veya</w:t>
      </w:r>
      <w:r>
        <w:t xml:space="preserve"> Davalı adına KKTC’de icra edilebilir menkul </w:t>
      </w:r>
      <w:r w:rsidR="008F6B75">
        <w:t>malı bulunması</w:t>
      </w:r>
      <w:r w:rsidR="00D66C49">
        <w:t>nın</w:t>
      </w:r>
      <w:r w:rsidR="008F6B75">
        <w:t>, gerek 9</w:t>
      </w:r>
      <w:r w:rsidR="00E03FA0">
        <w:t>/1976 Mahkemeler Yasası, gerek</w:t>
      </w:r>
      <w:r w:rsidR="008F6B75">
        <w:t xml:space="preserve">se Hukuk Muhakemeleri Usul Tüzüğü E.6 altında </w:t>
      </w:r>
      <w:r w:rsidR="00B624FD">
        <w:t xml:space="preserve">KKTC Mahkemelerine veya Girne Kaza Mahkemesine </w:t>
      </w:r>
      <w:r w:rsidR="008F6B75">
        <w:t xml:space="preserve">yetki verip vermediği </w:t>
      </w:r>
      <w:r w:rsidR="00E03FA0">
        <w:t xml:space="preserve">ile </w:t>
      </w:r>
      <w:r w:rsidR="008F6B75">
        <w:t xml:space="preserve">ilgili </w:t>
      </w:r>
      <w:r w:rsidR="00E03FA0">
        <w:t xml:space="preserve">kararı </w:t>
      </w:r>
      <w:r w:rsidR="00D66C49">
        <w:t>Alt</w:t>
      </w:r>
      <w:r w:rsidR="008F6B75">
        <w:t xml:space="preserve"> Mahkemenin</w:t>
      </w:r>
      <w:r w:rsidR="00D66C49">
        <w:t>,</w:t>
      </w:r>
      <w:r w:rsidR="00C4755E">
        <w:t xml:space="preserve"> istida veya davanın esası görüşülürken</w:t>
      </w:r>
      <w:r w:rsidR="008F6B75">
        <w:t xml:space="preserve"> </w:t>
      </w:r>
      <w:r w:rsidR="00B624FD">
        <w:t xml:space="preserve">üretmesi </w:t>
      </w:r>
      <w:r w:rsidR="008F6B75">
        <w:t>gereke</w:t>
      </w:r>
      <w:r w:rsidR="00B624FD">
        <w:t>cekt</w:t>
      </w:r>
      <w:r w:rsidR="008F6B75">
        <w:t>ir.</w:t>
      </w:r>
    </w:p>
    <w:p w:rsidR="008F6B75" w:rsidRDefault="008F6B75" w:rsidP="00AF13A1">
      <w:pPr>
        <w:spacing w:line="360" w:lineRule="auto"/>
      </w:pPr>
    </w:p>
    <w:p w:rsidR="008F6B75" w:rsidRDefault="008F6B75" w:rsidP="00AF13A1">
      <w:pPr>
        <w:spacing w:line="360" w:lineRule="auto"/>
      </w:pPr>
      <w:r>
        <w:tab/>
        <w:t>İstida, KKTC’de yürürlükte olan</w:t>
      </w:r>
      <w:r w:rsidR="00D66C49">
        <w:t xml:space="preserve"> Fasıl 262</w:t>
      </w:r>
      <w:r>
        <w:t xml:space="preserve"> </w:t>
      </w:r>
      <w:r w:rsidR="00B624FD">
        <w:t>Poliçeler Yasası</w:t>
      </w:r>
      <w:r w:rsidR="00D66C49">
        <w:t xml:space="preserve">’nın </w:t>
      </w:r>
      <w:r>
        <w:t xml:space="preserve">ilgili maddelerine dayandırılmamış, Türkiye </w:t>
      </w:r>
      <w:r>
        <w:lastRenderedPageBreak/>
        <w:t>Cumhuriyeti</w:t>
      </w:r>
      <w:r w:rsidR="00D66C49">
        <w:t xml:space="preserve">’nde yürürlükte olan </w:t>
      </w:r>
      <w:r>
        <w:t>Türk Ticaret Kanununun belirtile</w:t>
      </w:r>
      <w:r w:rsidR="00B624FD">
        <w:t>n</w:t>
      </w:r>
      <w:r>
        <w:t xml:space="preserve"> maddelerine </w:t>
      </w:r>
      <w:r w:rsidR="00B624FD">
        <w:t>istinad ettirilmiştir</w:t>
      </w:r>
      <w:r>
        <w:t>.  Türkiye Cumhuriyeti Türk Ticaret Kanunu KKTC’de yürürlük</w:t>
      </w:r>
      <w:r w:rsidR="00D66C49">
        <w:t>te olan bir yasa değildir.  Bu Y</w:t>
      </w:r>
      <w:r>
        <w:t>asa</w:t>
      </w:r>
      <w:r w:rsidR="00D66C49">
        <w:t>’</w:t>
      </w:r>
      <w:r>
        <w:t xml:space="preserve">nın bu meseleye uygulanabilmesi  için taraflar arasında var olan sözleşmenin  T.C. hukukuna dayandığı </w:t>
      </w:r>
      <w:r w:rsidR="00B624FD">
        <w:t xml:space="preserve">ve taraflar arasındaki ihtilafın </w:t>
      </w:r>
      <w:r w:rsidR="00D66C49">
        <w:t>o</w:t>
      </w:r>
      <w:r w:rsidR="00B624FD">
        <w:t xml:space="preserve"> mevzuat uygulanarak çözülmesi gerektiği </w:t>
      </w:r>
      <w:r>
        <w:t>iddia edilmeli</w:t>
      </w:r>
      <w:r w:rsidR="00B624FD">
        <w:t>dir.</w:t>
      </w:r>
      <w:r>
        <w:t xml:space="preserve">  Mahkeme, taraflar arasındaki ihtilafa Türk Ticaret </w:t>
      </w:r>
      <w:r w:rsidR="00D74EAF">
        <w:t>Kanunu</w:t>
      </w:r>
      <w:r w:rsidR="00D66C49">
        <w:t>’</w:t>
      </w:r>
      <w:r w:rsidR="00B624FD">
        <w:t>nun</w:t>
      </w:r>
      <w:r w:rsidR="00C4755E">
        <w:t xml:space="preserve"> </w:t>
      </w:r>
      <w:r w:rsidR="00B624FD">
        <w:t>u</w:t>
      </w:r>
      <w:r w:rsidR="00D74EAF">
        <w:t>ygula</w:t>
      </w:r>
      <w:r w:rsidR="00B624FD">
        <w:t>n</w:t>
      </w:r>
      <w:r w:rsidR="00D74EAF">
        <w:t xml:space="preserve">ması </w:t>
      </w:r>
      <w:r w:rsidR="00B624FD">
        <w:t>ve</w:t>
      </w:r>
      <w:r w:rsidR="00D74EAF">
        <w:t xml:space="preserve"> ihtilafın Türk hukukuna göre çözülmesi gerektiğine </w:t>
      </w:r>
      <w:r w:rsidR="00B624FD">
        <w:t>karar vermesi</w:t>
      </w:r>
      <w:r w:rsidR="00D66C49">
        <w:t xml:space="preserve"> halinde, T.C.</w:t>
      </w:r>
      <w:r w:rsidR="00D74EAF">
        <w:t xml:space="preserve"> mevzuat</w:t>
      </w:r>
      <w:r w:rsidR="00D66C49">
        <w:t>ın</w:t>
      </w:r>
      <w:r w:rsidR="00D74EAF">
        <w:t>a dayalı karar üre</w:t>
      </w:r>
      <w:r w:rsidR="00B624FD">
        <w:t>tilebilmesi için bu mevzuatın ne olduğu</w:t>
      </w:r>
      <w:r w:rsidR="00D66C49">
        <w:t>nun</w:t>
      </w:r>
      <w:r w:rsidR="00E03FA0">
        <w:t>,</w:t>
      </w:r>
      <w:r w:rsidR="00B624FD">
        <w:t xml:space="preserve"> </w:t>
      </w:r>
      <w:r w:rsidR="00C4755E">
        <w:t>hakkında</w:t>
      </w:r>
      <w:r w:rsidR="00D66C49">
        <w:t xml:space="preserve"> Mahkemede şahadet verilerek isp</w:t>
      </w:r>
      <w:r w:rsidR="00C4755E">
        <w:t>at edilmesi gerekecektir.</w:t>
      </w:r>
    </w:p>
    <w:p w:rsidR="00D74EAF" w:rsidRDefault="00D74EAF" w:rsidP="00AF13A1">
      <w:pPr>
        <w:spacing w:line="360" w:lineRule="auto"/>
      </w:pPr>
    </w:p>
    <w:p w:rsidR="00116B8E" w:rsidRDefault="00D74EAF" w:rsidP="00AF13A1">
      <w:pPr>
        <w:spacing w:line="360" w:lineRule="auto"/>
      </w:pPr>
      <w:r>
        <w:tab/>
      </w:r>
      <w:r w:rsidR="00B624FD">
        <w:t xml:space="preserve">Alt </w:t>
      </w:r>
      <w:r w:rsidR="00E03FA0">
        <w:t>Mahkeme</w:t>
      </w:r>
      <w:r w:rsidR="00D66C49">
        <w:t>nin,</w:t>
      </w:r>
      <w:r w:rsidR="00E03FA0">
        <w:t xml:space="preserve"> huzurunda verilmiş mevcut</w:t>
      </w:r>
      <w:r>
        <w:t xml:space="preserve"> şahadet ile </w:t>
      </w:r>
      <w:r w:rsidR="00B624FD">
        <w:t xml:space="preserve">Girne Kaza </w:t>
      </w:r>
      <w:r>
        <w:t>Mahkeme</w:t>
      </w:r>
      <w:r w:rsidR="00B624FD">
        <w:t>si</w:t>
      </w:r>
      <w:r w:rsidR="00D66C49">
        <w:t>’</w:t>
      </w:r>
      <w:r>
        <w:t>n</w:t>
      </w:r>
      <w:r w:rsidR="00B624FD">
        <w:t>i</w:t>
      </w:r>
      <w:r>
        <w:t>n yetkili mahkeme olup olmadığına</w:t>
      </w:r>
      <w:r w:rsidR="00116B8E">
        <w:t>,</w:t>
      </w:r>
      <w:r>
        <w:t xml:space="preserve"> bu meselenin KKTC</w:t>
      </w:r>
      <w:r w:rsidR="00077664">
        <w:t xml:space="preserve"> Mahkemelerinin yetki alanına girip girmediğine, KKTC mevzuatı uygulanacaksa yabancı poliçe için uygulanması gerekli prosedürün uygulanıp uygulanmadığına</w:t>
      </w:r>
      <w:r w:rsidR="00D66C49">
        <w:t xml:space="preserve"> ve</w:t>
      </w:r>
      <w:r w:rsidR="00077664">
        <w:t xml:space="preserve"> bu davada uygulanması gerekli mevzuatın hangi ülkenin mevzuatı olduğuna karar vermesi mümkün olmadığı</w:t>
      </w:r>
      <w:r w:rsidR="00E03FA0">
        <w:t xml:space="preserve">, </w:t>
      </w:r>
      <w:r w:rsidR="00B624FD">
        <w:t xml:space="preserve">bu hususlarda şahadet gerektiği </w:t>
      </w:r>
      <w:r w:rsidR="00E03FA0">
        <w:t xml:space="preserve">halde bu konularda herhangi bir şahadet sunulmadığı </w:t>
      </w:r>
      <w:r w:rsidR="00077664">
        <w:t>gerçeği ışığında, Alt Mahkeme</w:t>
      </w:r>
      <w:r w:rsidR="00C4755E">
        <w:t xml:space="preserve"> aciliyet görmeyerek istidanın </w:t>
      </w:r>
      <w:r w:rsidR="00E03FA0">
        <w:t>Müstedialeyhe tebliğ edilmesine</w:t>
      </w:r>
      <w:r w:rsidR="00116B8E">
        <w:t xml:space="preserve"> </w:t>
      </w:r>
      <w:r w:rsidR="00C4755E">
        <w:t>emir vermekte hata yapma</w:t>
      </w:r>
      <w:r w:rsidR="00116B8E">
        <w:t>mış</w:t>
      </w:r>
      <w:r w:rsidR="00C4755E">
        <w:t xml:space="preserve">tır. </w:t>
      </w:r>
    </w:p>
    <w:p w:rsidR="00B624FD" w:rsidRDefault="00B624FD" w:rsidP="00AF13A1">
      <w:pPr>
        <w:spacing w:line="360" w:lineRule="auto"/>
      </w:pPr>
    </w:p>
    <w:p w:rsidR="00D74EAF" w:rsidRDefault="00116B8E" w:rsidP="00AF13A1">
      <w:pPr>
        <w:spacing w:line="360" w:lineRule="auto"/>
      </w:pPr>
      <w:r>
        <w:tab/>
      </w:r>
      <w:r w:rsidR="00B624FD">
        <w:t xml:space="preserve">Netice itibarı ile </w:t>
      </w:r>
      <w:r w:rsidR="00D66C49">
        <w:t>İstinaf E</w:t>
      </w:r>
      <w:r>
        <w:t>den</w:t>
      </w:r>
      <w:r w:rsidR="00B624FD">
        <w:t>/Davacını</w:t>
      </w:r>
      <w:r>
        <w:t>n istinafı re</w:t>
      </w:r>
      <w:r w:rsidR="00D66C49">
        <w:t>t</w:t>
      </w:r>
      <w:r>
        <w:t xml:space="preserve"> ve iptal edilir.</w:t>
      </w:r>
    </w:p>
    <w:p w:rsidR="00116B8E" w:rsidRDefault="00116B8E" w:rsidP="00AF13A1">
      <w:pPr>
        <w:spacing w:line="360" w:lineRule="auto"/>
      </w:pPr>
    </w:p>
    <w:p w:rsidR="00116B8E" w:rsidRDefault="00E03FA0" w:rsidP="00AF13A1">
      <w:pPr>
        <w:spacing w:line="360" w:lineRule="auto"/>
      </w:pPr>
      <w:r>
        <w:tab/>
      </w:r>
      <w:r w:rsidR="00C4755E">
        <w:t xml:space="preserve">Dosyanın </w:t>
      </w:r>
      <w:r>
        <w:t>derhal Alt Mahkemeye iletilmesine direktif verilir.</w:t>
      </w:r>
    </w:p>
    <w:p w:rsidR="00E03FA0" w:rsidRDefault="00E03FA0" w:rsidP="00AF13A1">
      <w:pPr>
        <w:spacing w:line="360" w:lineRule="auto"/>
      </w:pPr>
    </w:p>
    <w:p w:rsidR="00E03FA0" w:rsidRDefault="00E03FA0" w:rsidP="00AF13A1">
      <w:pPr>
        <w:spacing w:line="360" w:lineRule="auto"/>
      </w:pPr>
    </w:p>
    <w:p w:rsidR="00860973" w:rsidRDefault="00860973" w:rsidP="00AF13A1">
      <w:pPr>
        <w:spacing w:line="360" w:lineRule="auto"/>
      </w:pPr>
    </w:p>
    <w:p w:rsidR="00E03FA0" w:rsidRDefault="00E03FA0" w:rsidP="00E03FA0">
      <w:r>
        <w:tab/>
        <w:t>Narin F.Şefik</w:t>
      </w:r>
      <w:r>
        <w:tab/>
      </w:r>
      <w:r>
        <w:tab/>
        <w:t>Ahmet Kalkan</w:t>
      </w:r>
      <w:r>
        <w:tab/>
      </w:r>
      <w:r>
        <w:tab/>
        <w:t>Bertan Özerdağ</w:t>
      </w:r>
    </w:p>
    <w:p w:rsidR="00E03FA0" w:rsidRDefault="00E03FA0" w:rsidP="00E03FA0">
      <w:r>
        <w:t xml:space="preserve">       Başkan</w:t>
      </w:r>
      <w:r>
        <w:tab/>
      </w:r>
      <w:r>
        <w:tab/>
      </w:r>
      <w:r>
        <w:tab/>
        <w:t xml:space="preserve">    Yargıç</w:t>
      </w:r>
      <w:r>
        <w:tab/>
      </w:r>
      <w:r>
        <w:tab/>
      </w:r>
      <w:r>
        <w:tab/>
        <w:t>Yargıç</w:t>
      </w:r>
    </w:p>
    <w:p w:rsidR="00E03FA0" w:rsidRDefault="00E03FA0" w:rsidP="00E03FA0"/>
    <w:p w:rsidR="00D2311A" w:rsidRDefault="00D2311A" w:rsidP="00AF13A1">
      <w:pPr>
        <w:spacing w:line="360" w:lineRule="auto"/>
      </w:pPr>
    </w:p>
    <w:p w:rsidR="00AF13A1" w:rsidRPr="00AF13A1" w:rsidRDefault="00C4755E" w:rsidP="00D66C49">
      <w:pPr>
        <w:spacing w:line="360" w:lineRule="auto"/>
      </w:pPr>
      <w:r>
        <w:t>4 Aralık 2020</w:t>
      </w:r>
    </w:p>
    <w:sectPr w:rsidR="00AF13A1" w:rsidRPr="00AF13A1" w:rsidSect="00C330EC">
      <w:headerReference w:type="default" r:id="rId8"/>
      <w:headerReference w:type="first" r:id="rId9"/>
      <w:pgSz w:w="11907" w:h="16840" w:code="9"/>
      <w:pgMar w:top="1440" w:right="1275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F4" w:rsidRDefault="00DE42F4" w:rsidP="00C330EC">
      <w:r>
        <w:separator/>
      </w:r>
    </w:p>
  </w:endnote>
  <w:endnote w:type="continuationSeparator" w:id="0">
    <w:p w:rsidR="00DE42F4" w:rsidRDefault="00DE42F4" w:rsidP="00C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F4" w:rsidRDefault="00DE42F4" w:rsidP="00C330EC">
      <w:r>
        <w:separator/>
      </w:r>
    </w:p>
  </w:footnote>
  <w:footnote w:type="continuationSeparator" w:id="0">
    <w:p w:rsidR="00DE42F4" w:rsidRDefault="00DE42F4" w:rsidP="00C3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4391"/>
      <w:docPartObj>
        <w:docPartGallery w:val="Page Numbers (Top of Page)"/>
        <w:docPartUnique/>
      </w:docPartObj>
    </w:sdtPr>
    <w:sdtEndPr/>
    <w:sdtContent>
      <w:p w:rsidR="005B1540" w:rsidRDefault="00DE42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1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1540" w:rsidRDefault="005B15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40" w:rsidRDefault="005B1540">
    <w:pPr>
      <w:pStyle w:val="Header"/>
      <w:jc w:val="center"/>
    </w:pPr>
  </w:p>
  <w:p w:rsidR="005B1540" w:rsidRDefault="005B15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3514"/>
    <w:multiLevelType w:val="hybridMultilevel"/>
    <w:tmpl w:val="8FDEB4FE"/>
    <w:lvl w:ilvl="0" w:tplc="4BD47E30">
      <w:numFmt w:val="bullet"/>
      <w:lvlText w:val="-"/>
      <w:lvlJc w:val="left"/>
      <w:pPr>
        <w:ind w:left="3900" w:hanging="360"/>
      </w:pPr>
      <w:rPr>
        <w:rFonts w:ascii="Courier New" w:eastAsiaTheme="minorHAnsi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A7C"/>
    <w:rsid w:val="00004FE9"/>
    <w:rsid w:val="00053589"/>
    <w:rsid w:val="000539F9"/>
    <w:rsid w:val="00073390"/>
    <w:rsid w:val="00077664"/>
    <w:rsid w:val="000818FE"/>
    <w:rsid w:val="000A3E4C"/>
    <w:rsid w:val="000B0B1C"/>
    <w:rsid w:val="000D4EA5"/>
    <w:rsid w:val="000E3903"/>
    <w:rsid w:val="00101155"/>
    <w:rsid w:val="00101157"/>
    <w:rsid w:val="00116B8E"/>
    <w:rsid w:val="00160E77"/>
    <w:rsid w:val="00167C12"/>
    <w:rsid w:val="001873CE"/>
    <w:rsid w:val="002244DE"/>
    <w:rsid w:val="00250ED8"/>
    <w:rsid w:val="00267D3D"/>
    <w:rsid w:val="00283040"/>
    <w:rsid w:val="00286AD4"/>
    <w:rsid w:val="002A55CF"/>
    <w:rsid w:val="002D78A6"/>
    <w:rsid w:val="00357BEB"/>
    <w:rsid w:val="003A4D50"/>
    <w:rsid w:val="003B21DC"/>
    <w:rsid w:val="003B6244"/>
    <w:rsid w:val="003C0B66"/>
    <w:rsid w:val="0040304D"/>
    <w:rsid w:val="00434D69"/>
    <w:rsid w:val="0048334D"/>
    <w:rsid w:val="0048421C"/>
    <w:rsid w:val="004A4081"/>
    <w:rsid w:val="004C13A7"/>
    <w:rsid w:val="00521DA6"/>
    <w:rsid w:val="00531DCE"/>
    <w:rsid w:val="00547A56"/>
    <w:rsid w:val="00547C38"/>
    <w:rsid w:val="00580969"/>
    <w:rsid w:val="0058681A"/>
    <w:rsid w:val="005B1540"/>
    <w:rsid w:val="0060543B"/>
    <w:rsid w:val="00684D72"/>
    <w:rsid w:val="006C32F4"/>
    <w:rsid w:val="006E11E2"/>
    <w:rsid w:val="006F2096"/>
    <w:rsid w:val="00725C6F"/>
    <w:rsid w:val="0073529B"/>
    <w:rsid w:val="0076241D"/>
    <w:rsid w:val="007853E4"/>
    <w:rsid w:val="007B3524"/>
    <w:rsid w:val="007B5E08"/>
    <w:rsid w:val="007F58E6"/>
    <w:rsid w:val="008007C0"/>
    <w:rsid w:val="00844A92"/>
    <w:rsid w:val="00847F27"/>
    <w:rsid w:val="00860973"/>
    <w:rsid w:val="00870687"/>
    <w:rsid w:val="008E6A7C"/>
    <w:rsid w:val="008F0A95"/>
    <w:rsid w:val="008F6B75"/>
    <w:rsid w:val="00956C12"/>
    <w:rsid w:val="009714C1"/>
    <w:rsid w:val="009D5C59"/>
    <w:rsid w:val="00A12354"/>
    <w:rsid w:val="00A158E6"/>
    <w:rsid w:val="00A24A00"/>
    <w:rsid w:val="00A60664"/>
    <w:rsid w:val="00A718E1"/>
    <w:rsid w:val="00AA27CE"/>
    <w:rsid w:val="00AF13A1"/>
    <w:rsid w:val="00B2044B"/>
    <w:rsid w:val="00B43E6A"/>
    <w:rsid w:val="00B500E1"/>
    <w:rsid w:val="00B624FD"/>
    <w:rsid w:val="00B75EDA"/>
    <w:rsid w:val="00C07E45"/>
    <w:rsid w:val="00C23700"/>
    <w:rsid w:val="00C330EC"/>
    <w:rsid w:val="00C35381"/>
    <w:rsid w:val="00C4755E"/>
    <w:rsid w:val="00C565BF"/>
    <w:rsid w:val="00CF30ED"/>
    <w:rsid w:val="00D142DA"/>
    <w:rsid w:val="00D2311A"/>
    <w:rsid w:val="00D66C49"/>
    <w:rsid w:val="00D74EAF"/>
    <w:rsid w:val="00DD58D9"/>
    <w:rsid w:val="00DE42F4"/>
    <w:rsid w:val="00E03FA0"/>
    <w:rsid w:val="00E34DC3"/>
    <w:rsid w:val="00E93C1B"/>
    <w:rsid w:val="00EA76C1"/>
    <w:rsid w:val="00EB64E0"/>
    <w:rsid w:val="00F4041A"/>
    <w:rsid w:val="00F92368"/>
    <w:rsid w:val="00FC6AD5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0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0EC"/>
  </w:style>
  <w:style w:type="paragraph" w:styleId="Footer">
    <w:name w:val="footer"/>
    <w:basedOn w:val="Normal"/>
    <w:link w:val="FooterChar"/>
    <w:uiPriority w:val="99"/>
    <w:semiHidden/>
    <w:unhideWhenUsed/>
    <w:rsid w:val="00C330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mah5</dc:creator>
  <cp:lastModifiedBy>Burak Demirkaya</cp:lastModifiedBy>
  <cp:revision>13</cp:revision>
  <cp:lastPrinted>2020-12-14T06:29:00Z</cp:lastPrinted>
  <dcterms:created xsi:type="dcterms:W3CDTF">2020-12-01T11:06:00Z</dcterms:created>
  <dcterms:modified xsi:type="dcterms:W3CDTF">2020-12-24T09:44:00Z</dcterms:modified>
</cp:coreProperties>
</file>